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91524D5" w14:textId="77777777" w:rsidR="008F5B0F" w:rsidRPr="00541902" w:rsidRDefault="008F5B0F">
      <w:pPr>
        <w:rPr>
          <w:b/>
          <w:sz w:val="24"/>
          <w:szCs w:val="24"/>
          <w:u w:val="single"/>
        </w:rPr>
      </w:pPr>
      <w:r w:rsidRPr="00541902">
        <w:rPr>
          <w:b/>
          <w:sz w:val="24"/>
          <w:szCs w:val="24"/>
        </w:rPr>
        <w:t xml:space="preserve"> </w:t>
      </w:r>
      <w:r w:rsidRPr="00541902">
        <w:rPr>
          <w:b/>
          <w:sz w:val="24"/>
          <w:szCs w:val="24"/>
          <w:u w:val="single"/>
        </w:rPr>
        <w:t>What are NCDs?</w:t>
      </w:r>
    </w:p>
    <w:p w14:paraId="6B32E07C" w14:textId="77777777" w:rsidR="008F5B0F" w:rsidRPr="005C47D1" w:rsidRDefault="008F5B0F" w:rsidP="008F5B0F">
      <w:r w:rsidRPr="005C47D1">
        <w:t xml:space="preserve">“Non-communicable disease (NCD)” or “Chronic Disease” refers to health problems that cause ongoing damage to the body. If these conditions are not prevented or treated, they will worsen and lead to early death. </w:t>
      </w:r>
    </w:p>
    <w:p w14:paraId="19DADE79" w14:textId="77777777" w:rsidR="008F5B0F" w:rsidRPr="005C47D1" w:rsidRDefault="008F5B0F" w:rsidP="008F5B0F">
      <w:r w:rsidRPr="005C47D1">
        <w:t xml:space="preserve">The “big four” NCDs that cause problems worldwide are cardiovascular (heart and circulation), diabetes (too much sugar in the blood), cancer and chronic respiratory (lung) disease.  </w:t>
      </w:r>
    </w:p>
    <w:p w14:paraId="7C95914F" w14:textId="77777777" w:rsidR="008F5B0F" w:rsidRPr="005C47D1" w:rsidRDefault="008F5B0F" w:rsidP="008F5B0F">
      <w:r w:rsidRPr="005C47D1">
        <w:t xml:space="preserve">Leaders in the government and community should work together to create countries with healthier people. Efforts should focus on lessening </w:t>
      </w:r>
      <w:r w:rsidRPr="005C47D1">
        <w:rPr>
          <w:b/>
        </w:rPr>
        <w:t xml:space="preserve">major risk factors. </w:t>
      </w:r>
      <w:r w:rsidRPr="005C47D1">
        <w:t>These include the following:</w:t>
      </w:r>
    </w:p>
    <w:tbl>
      <w:tblPr>
        <w:tblStyle w:val="TableGrid"/>
        <w:tblW w:w="0" w:type="auto"/>
        <w:tblLook w:val="00A0" w:firstRow="1" w:lastRow="0" w:firstColumn="1" w:lastColumn="0" w:noHBand="0" w:noVBand="0"/>
      </w:tblPr>
      <w:tblGrid>
        <w:gridCol w:w="4788"/>
        <w:gridCol w:w="4788"/>
      </w:tblGrid>
      <w:tr w:rsidR="008F5B0F" w:rsidRPr="005C47D1" w14:paraId="2A13AFDB" w14:textId="77777777">
        <w:trPr>
          <w:trHeight w:val="809"/>
        </w:trPr>
        <w:tc>
          <w:tcPr>
            <w:tcW w:w="4788" w:type="dxa"/>
          </w:tcPr>
          <w:p w14:paraId="10F47D3C" w14:textId="77777777" w:rsidR="008F5B0F" w:rsidRPr="005C47D1" w:rsidRDefault="008F5B0F" w:rsidP="008F5B0F">
            <w:pPr>
              <w:spacing w:after="0" w:line="240" w:lineRule="auto"/>
              <w:rPr>
                <w:i/>
              </w:rPr>
            </w:pPr>
            <w:r w:rsidRPr="005C47D1">
              <w:rPr>
                <w:b/>
              </w:rPr>
              <w:t>Tobacco</w:t>
            </w:r>
          </w:p>
          <w:p w14:paraId="0E753241" w14:textId="77777777" w:rsidR="008F5B0F" w:rsidRPr="005C47D1" w:rsidRDefault="008F5B0F" w:rsidP="008F5B0F">
            <w:pPr>
              <w:spacing w:after="0" w:line="240" w:lineRule="auto"/>
            </w:pPr>
          </w:p>
        </w:tc>
        <w:tc>
          <w:tcPr>
            <w:tcW w:w="4788" w:type="dxa"/>
          </w:tcPr>
          <w:p w14:paraId="411597B8" w14:textId="77777777" w:rsidR="008F5B0F" w:rsidRPr="005C47D1" w:rsidRDefault="008F5B0F" w:rsidP="008F5B0F">
            <w:pPr>
              <w:pStyle w:val="ListParagraph"/>
              <w:numPr>
                <w:ilvl w:val="0"/>
                <w:numId w:val="8"/>
              </w:numPr>
              <w:spacing w:after="0" w:line="240" w:lineRule="auto"/>
              <w:rPr>
                <w:i/>
              </w:rPr>
            </w:pPr>
            <w:r w:rsidRPr="005C47D1">
              <w:rPr>
                <w:i/>
              </w:rPr>
              <w:t>Causes major lung problems, cancer, heart and circulation problems</w:t>
            </w:r>
          </w:p>
          <w:p w14:paraId="746A38D8" w14:textId="77777777" w:rsidR="008F5B0F" w:rsidRPr="005C47D1" w:rsidRDefault="008F5B0F" w:rsidP="008F5B0F">
            <w:pPr>
              <w:pStyle w:val="ListParagraph"/>
              <w:numPr>
                <w:ilvl w:val="0"/>
                <w:numId w:val="8"/>
              </w:numPr>
              <w:spacing w:after="0" w:line="240" w:lineRule="auto"/>
              <w:rPr>
                <w:i/>
              </w:rPr>
            </w:pPr>
            <w:r w:rsidRPr="005C47D1">
              <w:rPr>
                <w:i/>
              </w:rPr>
              <w:t>Worsens diabetes</w:t>
            </w:r>
          </w:p>
        </w:tc>
      </w:tr>
      <w:tr w:rsidR="008F5B0F" w:rsidRPr="005C47D1" w14:paraId="19CD3DD0" w14:textId="77777777">
        <w:trPr>
          <w:trHeight w:val="1079"/>
        </w:trPr>
        <w:tc>
          <w:tcPr>
            <w:tcW w:w="4788" w:type="dxa"/>
          </w:tcPr>
          <w:p w14:paraId="504E21ED" w14:textId="77777777" w:rsidR="008F5B0F" w:rsidRPr="005C47D1" w:rsidRDefault="008F5B0F" w:rsidP="008F5B0F">
            <w:pPr>
              <w:spacing w:after="0" w:line="240" w:lineRule="auto"/>
              <w:rPr>
                <w:b/>
              </w:rPr>
            </w:pPr>
            <w:r w:rsidRPr="005C47D1">
              <w:rPr>
                <w:b/>
              </w:rPr>
              <w:t>Harmful Alcohol Use</w:t>
            </w:r>
          </w:p>
          <w:p w14:paraId="607851DE" w14:textId="77777777" w:rsidR="008F5B0F" w:rsidRPr="005C47D1" w:rsidRDefault="008F5B0F" w:rsidP="008F5B0F">
            <w:pPr>
              <w:spacing w:after="0" w:line="240" w:lineRule="auto"/>
            </w:pPr>
          </w:p>
        </w:tc>
        <w:tc>
          <w:tcPr>
            <w:tcW w:w="4788" w:type="dxa"/>
          </w:tcPr>
          <w:p w14:paraId="02E9AA83" w14:textId="77777777" w:rsidR="008F5B0F" w:rsidRPr="005C47D1" w:rsidRDefault="008F5B0F" w:rsidP="008F5B0F">
            <w:pPr>
              <w:pStyle w:val="ListParagraph"/>
              <w:numPr>
                <w:ilvl w:val="0"/>
                <w:numId w:val="9"/>
              </w:numPr>
              <w:spacing w:after="0" w:line="240" w:lineRule="auto"/>
              <w:rPr>
                <w:i/>
              </w:rPr>
            </w:pPr>
            <w:r w:rsidRPr="005C47D1">
              <w:rPr>
                <w:i/>
              </w:rPr>
              <w:t>Causes problems with the liver</w:t>
            </w:r>
          </w:p>
          <w:p w14:paraId="593F168A" w14:textId="77777777" w:rsidR="008F5B0F" w:rsidRPr="005C47D1" w:rsidRDefault="008F5B0F" w:rsidP="008F5B0F">
            <w:pPr>
              <w:pStyle w:val="ListParagraph"/>
              <w:numPr>
                <w:ilvl w:val="0"/>
                <w:numId w:val="9"/>
              </w:numPr>
              <w:spacing w:after="0" w:line="240" w:lineRule="auto"/>
              <w:rPr>
                <w:i/>
              </w:rPr>
            </w:pPr>
            <w:r w:rsidRPr="005C47D1">
              <w:rPr>
                <w:i/>
              </w:rPr>
              <w:t>Worsens high blood pressure and heart disease</w:t>
            </w:r>
          </w:p>
          <w:p w14:paraId="645099C1" w14:textId="77777777" w:rsidR="008F5B0F" w:rsidRPr="005C47D1" w:rsidRDefault="008F5B0F" w:rsidP="008F5B0F">
            <w:pPr>
              <w:pStyle w:val="ListParagraph"/>
              <w:numPr>
                <w:ilvl w:val="0"/>
                <w:numId w:val="9"/>
              </w:numPr>
              <w:spacing w:after="0" w:line="240" w:lineRule="auto"/>
              <w:rPr>
                <w:i/>
              </w:rPr>
            </w:pPr>
            <w:r w:rsidRPr="005C47D1">
              <w:rPr>
                <w:i/>
              </w:rPr>
              <w:t xml:space="preserve">Can lead to obesity </w:t>
            </w:r>
          </w:p>
          <w:p w14:paraId="032767FE" w14:textId="77777777" w:rsidR="008F5B0F" w:rsidRPr="005C47D1" w:rsidRDefault="008F5B0F" w:rsidP="008F5B0F">
            <w:pPr>
              <w:pStyle w:val="ListParagraph"/>
              <w:numPr>
                <w:ilvl w:val="0"/>
                <w:numId w:val="9"/>
              </w:numPr>
              <w:spacing w:after="0" w:line="240" w:lineRule="auto"/>
            </w:pPr>
            <w:r w:rsidRPr="005C47D1">
              <w:rPr>
                <w:i/>
              </w:rPr>
              <w:t>May lead to job loss if there is a drinking problem</w:t>
            </w:r>
          </w:p>
        </w:tc>
      </w:tr>
      <w:tr w:rsidR="008F5B0F" w:rsidRPr="005C47D1" w14:paraId="303A5D17" w14:textId="77777777">
        <w:trPr>
          <w:trHeight w:val="791"/>
        </w:trPr>
        <w:tc>
          <w:tcPr>
            <w:tcW w:w="4788" w:type="dxa"/>
          </w:tcPr>
          <w:p w14:paraId="71C9136D" w14:textId="77777777" w:rsidR="008F5B0F" w:rsidRPr="005C47D1" w:rsidRDefault="008F5B0F" w:rsidP="008F5B0F">
            <w:pPr>
              <w:spacing w:after="0" w:line="240" w:lineRule="auto"/>
              <w:rPr>
                <w:b/>
              </w:rPr>
            </w:pPr>
            <w:r w:rsidRPr="005C47D1">
              <w:rPr>
                <w:b/>
              </w:rPr>
              <w:t>Unhealthy Diet</w:t>
            </w:r>
          </w:p>
          <w:p w14:paraId="49FB3CA6" w14:textId="77777777" w:rsidR="008F5B0F" w:rsidRPr="005C47D1" w:rsidRDefault="008F5B0F" w:rsidP="008F5B0F">
            <w:pPr>
              <w:spacing w:after="0" w:line="240" w:lineRule="auto"/>
            </w:pPr>
          </w:p>
        </w:tc>
        <w:tc>
          <w:tcPr>
            <w:tcW w:w="4788" w:type="dxa"/>
          </w:tcPr>
          <w:p w14:paraId="4652967A" w14:textId="77777777" w:rsidR="008F5B0F" w:rsidRPr="005C47D1" w:rsidRDefault="008F5B0F" w:rsidP="008F5B0F">
            <w:pPr>
              <w:pStyle w:val="ListParagraph"/>
              <w:numPr>
                <w:ilvl w:val="0"/>
                <w:numId w:val="10"/>
              </w:numPr>
              <w:spacing w:after="0" w:line="240" w:lineRule="auto"/>
              <w:rPr>
                <w:i/>
              </w:rPr>
            </w:pPr>
            <w:r w:rsidRPr="005C47D1">
              <w:rPr>
                <w:i/>
              </w:rPr>
              <w:t xml:space="preserve">Leads to obesity, which causes heart disease, diabetes and joint problems. </w:t>
            </w:r>
          </w:p>
          <w:p w14:paraId="6963AEEB" w14:textId="77777777" w:rsidR="008F5B0F" w:rsidRPr="005C47D1" w:rsidRDefault="008F5B0F" w:rsidP="008F5B0F">
            <w:pPr>
              <w:pStyle w:val="ListParagraph"/>
              <w:numPr>
                <w:ilvl w:val="0"/>
                <w:numId w:val="10"/>
              </w:numPr>
              <w:spacing w:after="0" w:line="240" w:lineRule="auto"/>
            </w:pPr>
            <w:r w:rsidRPr="005C47D1">
              <w:rPr>
                <w:i/>
              </w:rPr>
              <w:t>Increases the risk of developing cancer</w:t>
            </w:r>
          </w:p>
        </w:tc>
      </w:tr>
      <w:tr w:rsidR="008F5B0F" w:rsidRPr="005C47D1" w14:paraId="4B804ADD" w14:textId="77777777">
        <w:trPr>
          <w:trHeight w:val="350"/>
        </w:trPr>
        <w:tc>
          <w:tcPr>
            <w:tcW w:w="4788" w:type="dxa"/>
          </w:tcPr>
          <w:p w14:paraId="4A120E87" w14:textId="77777777" w:rsidR="008F5B0F" w:rsidRPr="005C47D1" w:rsidRDefault="008F5B0F" w:rsidP="008F5B0F">
            <w:pPr>
              <w:spacing w:after="0" w:line="240" w:lineRule="auto"/>
            </w:pPr>
            <w:r w:rsidRPr="005C47D1">
              <w:rPr>
                <w:b/>
              </w:rPr>
              <w:t>Physical Inactivity</w:t>
            </w:r>
          </w:p>
        </w:tc>
        <w:tc>
          <w:tcPr>
            <w:tcW w:w="4788" w:type="dxa"/>
          </w:tcPr>
          <w:p w14:paraId="31C41C59" w14:textId="77777777" w:rsidR="008F5B0F" w:rsidRPr="005C47D1" w:rsidRDefault="008F5B0F" w:rsidP="008F5B0F">
            <w:pPr>
              <w:pStyle w:val="ListParagraph"/>
              <w:numPr>
                <w:ilvl w:val="0"/>
                <w:numId w:val="11"/>
              </w:numPr>
              <w:spacing w:after="0" w:line="240" w:lineRule="auto"/>
            </w:pPr>
            <w:r w:rsidRPr="005C47D1">
              <w:rPr>
                <w:i/>
              </w:rPr>
              <w:t>Leads to obesity and joint problems</w:t>
            </w:r>
          </w:p>
        </w:tc>
      </w:tr>
    </w:tbl>
    <w:p w14:paraId="13C4D389" w14:textId="77777777" w:rsidR="008F5B0F" w:rsidRPr="00541902" w:rsidRDefault="008F5B0F" w:rsidP="008F5B0F">
      <w:pPr>
        <w:widowControl w:val="0"/>
        <w:autoSpaceDE w:val="0"/>
        <w:autoSpaceDN w:val="0"/>
        <w:adjustRightInd w:val="0"/>
        <w:spacing w:after="240" w:line="240" w:lineRule="auto"/>
        <w:rPr>
          <w:b/>
          <w:sz w:val="24"/>
          <w:szCs w:val="24"/>
        </w:rPr>
      </w:pPr>
    </w:p>
    <w:p w14:paraId="00F3DAAF" w14:textId="77777777" w:rsidR="008F5B0F" w:rsidRPr="00541902" w:rsidRDefault="008F5B0F" w:rsidP="008F5B0F">
      <w:pPr>
        <w:widowControl w:val="0"/>
        <w:autoSpaceDE w:val="0"/>
        <w:autoSpaceDN w:val="0"/>
        <w:adjustRightInd w:val="0"/>
        <w:spacing w:after="240" w:line="240" w:lineRule="auto"/>
        <w:rPr>
          <w:b/>
          <w:sz w:val="24"/>
          <w:szCs w:val="24"/>
          <w:u w:val="single"/>
        </w:rPr>
      </w:pPr>
      <w:r w:rsidRPr="00541902">
        <w:rPr>
          <w:b/>
          <w:sz w:val="24"/>
          <w:szCs w:val="24"/>
          <w:u w:val="single"/>
        </w:rPr>
        <w:t>What you should know</w:t>
      </w:r>
    </w:p>
    <w:p w14:paraId="2619099F" w14:textId="46252C7D" w:rsidR="008F5B0F" w:rsidRPr="005C47D1" w:rsidRDefault="008F5B0F" w:rsidP="008F5B0F">
      <w:pPr>
        <w:spacing w:after="0"/>
        <w:rPr>
          <w:rFonts w:cs="Calibri"/>
          <w:color w:val="000000"/>
        </w:rPr>
      </w:pPr>
      <w:r w:rsidRPr="005C47D1">
        <w:rPr>
          <w:rFonts w:cs="Calibri"/>
          <w:color w:val="000000"/>
        </w:rPr>
        <w:t>The environments in most island communities no longer promote physical activity. Roads and unleashed dogs encourage driving and discourage walking. Most schools and workplaces do little to encourage or value movement. Sedentary lifestyles often result in much poorer health due to NCDs. Establishing policies that support active lifestyles is critical for health</w:t>
      </w:r>
      <w:r w:rsidR="004554FF">
        <w:rPr>
          <w:rFonts w:cs="Calibri"/>
          <w:color w:val="000000"/>
        </w:rPr>
        <w:t>y</w:t>
      </w:r>
      <w:bookmarkStart w:id="0" w:name="_GoBack"/>
      <w:bookmarkEnd w:id="0"/>
      <w:r w:rsidRPr="005C47D1">
        <w:rPr>
          <w:rFonts w:cs="Calibri"/>
          <w:color w:val="000000"/>
        </w:rPr>
        <w:t xml:space="preserve"> islands. Ensuring that people have access to daily exercise must be a priority.</w:t>
      </w:r>
    </w:p>
    <w:p w14:paraId="2992EC62" w14:textId="77777777" w:rsidR="008F5B0F" w:rsidRPr="00541902" w:rsidRDefault="008F5B0F" w:rsidP="008F5B0F">
      <w:pPr>
        <w:spacing w:after="0"/>
        <w:rPr>
          <w:rFonts w:cs="Calibri"/>
          <w:sz w:val="24"/>
          <w:szCs w:val="24"/>
        </w:rPr>
      </w:pPr>
    </w:p>
    <w:p w14:paraId="048345DB" w14:textId="77777777" w:rsidR="008F5B0F" w:rsidRPr="00541902" w:rsidRDefault="008F5B0F" w:rsidP="008F5B0F">
      <w:pPr>
        <w:rPr>
          <w:b/>
          <w:sz w:val="24"/>
          <w:szCs w:val="24"/>
          <w:u w:val="single"/>
        </w:rPr>
      </w:pPr>
      <w:r w:rsidRPr="00541902">
        <w:rPr>
          <w:b/>
          <w:sz w:val="24"/>
          <w:szCs w:val="24"/>
          <w:u w:val="single"/>
        </w:rPr>
        <w:t>Why is this important?</w:t>
      </w:r>
    </w:p>
    <w:p w14:paraId="3B1BA103" w14:textId="77777777"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Calibri"/>
          <w:color w:val="000000"/>
        </w:rPr>
        <w:t>Studies from a several Pacific Island countries and territories show that between 41% and 62% of adults lead completely sedentary lifestyles. A sedentary lifestyle is closely linked to obesity, diabetes, and heart disease.</w:t>
      </w:r>
    </w:p>
    <w:p w14:paraId="2DFCC5FF" w14:textId="6370F13B"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Calibri"/>
          <w:color w:val="000000"/>
        </w:rPr>
        <w:t>Developing or enhancing built environments can increase and promote physical activity</w:t>
      </w:r>
      <w:proofErr w:type="gramStart"/>
      <w:r w:rsidRPr="005C47D1">
        <w:rPr>
          <w:rFonts w:cs="Calibri"/>
          <w:color w:val="000000"/>
        </w:rPr>
        <w:t>.</w:t>
      </w:r>
      <w:r w:rsidRPr="005C47D1">
        <w:rPr>
          <w:rStyle w:val="FootnoteReference"/>
          <w:color w:val="000000"/>
        </w:rPr>
        <w:footnoteReference w:id="1"/>
      </w:r>
      <w:r w:rsidR="005C47D1" w:rsidRPr="005C47D1">
        <w:rPr>
          <w:rFonts w:cs="Calibri"/>
          <w:color w:val="000000"/>
          <w:vertAlign w:val="superscript"/>
        </w:rPr>
        <w:t>,</w:t>
      </w:r>
      <w:r w:rsidRPr="005C47D1">
        <w:rPr>
          <w:rStyle w:val="FootnoteReference"/>
          <w:color w:val="000000"/>
        </w:rPr>
        <w:footnoteReference w:id="2"/>
      </w:r>
      <w:r w:rsidR="005C47D1" w:rsidRPr="005C47D1">
        <w:rPr>
          <w:rFonts w:cs="Calibri"/>
          <w:color w:val="000000"/>
          <w:vertAlign w:val="superscript"/>
        </w:rPr>
        <w:t>,</w:t>
      </w:r>
      <w:proofErr w:type="gramEnd"/>
      <w:r w:rsidRPr="005C47D1">
        <w:rPr>
          <w:rStyle w:val="FootnoteReference"/>
          <w:color w:val="000000"/>
        </w:rPr>
        <w:footnoteReference w:id="3"/>
      </w:r>
    </w:p>
    <w:p w14:paraId="554497F5" w14:textId="77777777"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Calibri"/>
          <w:color w:val="000000"/>
        </w:rPr>
        <w:lastRenderedPageBreak/>
        <w:t>Environmental factors, such walkability, residential density, land use and access, and proximity to recreational facilities, correlate closely to physical activity among children and adolescents.</w:t>
      </w:r>
      <w:r w:rsidRPr="005C47D1">
        <w:rPr>
          <w:rStyle w:val="FootnoteReference"/>
          <w:color w:val="000000"/>
        </w:rPr>
        <w:footnoteReference w:id="4"/>
      </w:r>
    </w:p>
    <w:p w14:paraId="4386876B" w14:textId="77777777"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Times"/>
          <w:color w:val="000000"/>
        </w:rPr>
        <w:t>In American Samoa, over half of reported injuries are attributed to dog bites. Attacks by free-roaming dogs are attributed to a fear of being bitten and a barrier towards getting more physical activity.</w:t>
      </w:r>
      <w:r w:rsidRPr="005C47D1">
        <w:rPr>
          <w:rStyle w:val="FootnoteReference"/>
          <w:color w:val="000000"/>
        </w:rPr>
        <w:footnoteReference w:id="5"/>
      </w:r>
    </w:p>
    <w:p w14:paraId="1B05DF8D" w14:textId="77777777" w:rsidR="008F5B0F" w:rsidRPr="00CE7889" w:rsidRDefault="008F5B0F" w:rsidP="008F5B0F">
      <w:pPr>
        <w:spacing w:after="0" w:line="240" w:lineRule="auto"/>
        <w:rPr>
          <w:rFonts w:cs="Arial"/>
          <w:b/>
          <w:sz w:val="24"/>
          <w:u w:val="single"/>
        </w:rPr>
      </w:pPr>
      <w:r w:rsidRPr="00CE7889">
        <w:rPr>
          <w:rFonts w:cs="Arial"/>
          <w:b/>
          <w:sz w:val="24"/>
          <w:u w:val="single"/>
        </w:rPr>
        <w:t xml:space="preserve">What are characteristics of the built environment? </w:t>
      </w:r>
    </w:p>
    <w:p w14:paraId="4B5DE93B" w14:textId="77777777" w:rsidR="008F5B0F" w:rsidRPr="00CE7889" w:rsidRDefault="008F5B0F" w:rsidP="008F5B0F">
      <w:pPr>
        <w:spacing w:after="0" w:line="240" w:lineRule="auto"/>
        <w:rPr>
          <w:rFonts w:cs="Arial"/>
          <w:b/>
          <w:sz w:val="24"/>
          <w:u w:val="single"/>
        </w:rPr>
      </w:pPr>
    </w:p>
    <w:p w14:paraId="6CC9616F" w14:textId="7EE33F78" w:rsidR="008F5B0F" w:rsidRPr="005C47D1" w:rsidRDefault="008F5B0F" w:rsidP="005C47D1">
      <w:pPr>
        <w:spacing w:after="0"/>
        <w:rPr>
          <w:rFonts w:cs="Arial"/>
          <w:b/>
        </w:rPr>
      </w:pPr>
      <w:r w:rsidRPr="005C47D1">
        <w:rPr>
          <w:rFonts w:cs="Arial"/>
          <w:b/>
        </w:rPr>
        <w:t xml:space="preserve">Walkable and </w:t>
      </w:r>
      <w:proofErr w:type="spellStart"/>
      <w:r w:rsidRPr="005C47D1">
        <w:rPr>
          <w:rFonts w:cs="Arial"/>
          <w:b/>
        </w:rPr>
        <w:t>Bik</w:t>
      </w:r>
      <w:r w:rsidR="005C47D1" w:rsidRPr="005C47D1">
        <w:rPr>
          <w:rFonts w:cs="Arial"/>
          <w:b/>
        </w:rPr>
        <w:t>e</w:t>
      </w:r>
      <w:r w:rsidRPr="005C47D1">
        <w:rPr>
          <w:rFonts w:cs="Arial"/>
          <w:b/>
        </w:rPr>
        <w:t>able</w:t>
      </w:r>
      <w:proofErr w:type="spellEnd"/>
      <w:r w:rsidRPr="005C47D1">
        <w:rPr>
          <w:rFonts w:cs="Arial"/>
          <w:b/>
        </w:rPr>
        <w:t xml:space="preserve"> Neighborhoods </w:t>
      </w:r>
    </w:p>
    <w:p w14:paraId="04ABD9D6" w14:textId="6F06D308" w:rsidR="00593636" w:rsidRPr="005C47D1" w:rsidRDefault="00593636" w:rsidP="005C47D1">
      <w:pPr>
        <w:spacing w:after="0"/>
        <w:rPr>
          <w:rFonts w:cs="Arial"/>
        </w:rPr>
      </w:pPr>
      <w:r w:rsidRPr="005C47D1">
        <w:rPr>
          <w:rFonts w:cs="Arial"/>
        </w:rPr>
        <w:t xml:space="preserve">Features should be built into the </w:t>
      </w:r>
      <w:r w:rsidR="00D83668" w:rsidRPr="005C47D1">
        <w:rPr>
          <w:rFonts w:cs="Arial"/>
        </w:rPr>
        <w:t>environment that influences</w:t>
      </w:r>
      <w:r w:rsidRPr="005C47D1">
        <w:rPr>
          <w:rFonts w:cs="Arial"/>
        </w:rPr>
        <w:t xml:space="preserve"> people to choose to walk or bicycle for transportation. Children especially need safe sidewalks and street</w:t>
      </w:r>
      <w:r w:rsidR="00093534" w:rsidRPr="005C47D1">
        <w:rPr>
          <w:rFonts w:cs="Arial"/>
        </w:rPr>
        <w:t>s</w:t>
      </w:r>
      <w:r w:rsidRPr="005C47D1">
        <w:rPr>
          <w:rFonts w:cs="Arial"/>
        </w:rPr>
        <w:t xml:space="preserve"> that are separate from fast moving traffic. Destinations such as stores and services that are within walking distance of housing can also influence people to walk and bicycle as a means to transportation. </w:t>
      </w:r>
      <w:r w:rsidR="00CD7316" w:rsidRPr="005C47D1">
        <w:rPr>
          <w:rStyle w:val="FootnoteReference"/>
        </w:rPr>
        <w:footnoteReference w:id="6"/>
      </w:r>
      <w:r w:rsidR="005C47D1" w:rsidRPr="005C47D1">
        <w:rPr>
          <w:rFonts w:cs="Arial"/>
          <w:vertAlign w:val="superscript"/>
        </w:rPr>
        <w:t>,</w:t>
      </w:r>
      <w:r w:rsidR="00CD7316" w:rsidRPr="005C47D1">
        <w:rPr>
          <w:rStyle w:val="FootnoteReference"/>
        </w:rPr>
        <w:footnoteReference w:id="7"/>
      </w:r>
    </w:p>
    <w:p w14:paraId="4FD0999E" w14:textId="77777777" w:rsidR="00593636" w:rsidRPr="005C47D1" w:rsidRDefault="00593636" w:rsidP="005C47D1">
      <w:pPr>
        <w:numPr>
          <w:ilvl w:val="0"/>
          <w:numId w:val="13"/>
        </w:numPr>
        <w:spacing w:after="0"/>
        <w:rPr>
          <w:rFonts w:cs="Arial"/>
        </w:rPr>
      </w:pPr>
      <w:r w:rsidRPr="005C47D1">
        <w:rPr>
          <w:rFonts w:cs="Arial"/>
        </w:rPr>
        <w:t>Residents that live in communities that are pedestrian and bicycle friendly are usually more p</w:t>
      </w:r>
      <w:r w:rsidR="00CD7316" w:rsidRPr="005C47D1">
        <w:rPr>
          <w:rFonts w:cs="Arial"/>
        </w:rPr>
        <w:t>hysically active.</w:t>
      </w:r>
      <w:r w:rsidR="00CD7316" w:rsidRPr="005C47D1">
        <w:rPr>
          <w:rStyle w:val="FootnoteReference"/>
        </w:rPr>
        <w:footnoteReference w:id="8"/>
      </w:r>
    </w:p>
    <w:p w14:paraId="10A2290E" w14:textId="77777777" w:rsidR="008F5B0F" w:rsidRPr="005C47D1" w:rsidRDefault="00EB757D" w:rsidP="005C47D1">
      <w:pPr>
        <w:numPr>
          <w:ilvl w:val="0"/>
          <w:numId w:val="13"/>
        </w:numPr>
        <w:spacing w:after="0"/>
        <w:rPr>
          <w:rFonts w:cs="Arial"/>
        </w:rPr>
      </w:pPr>
      <w:r w:rsidRPr="005C47D1">
        <w:rPr>
          <w:rFonts w:cs="Arial"/>
        </w:rPr>
        <w:t xml:space="preserve">Studies have shown that residents in communities with walkable neighborhoods engage in ~ 70 more minutes/week of moderate and vigorous physical activity than those </w:t>
      </w:r>
      <w:r w:rsidR="00CD7316" w:rsidRPr="005C47D1">
        <w:rPr>
          <w:rFonts w:cs="Arial"/>
        </w:rPr>
        <w:t>in less walkable neighborhoods.</w:t>
      </w:r>
      <w:r w:rsidR="00CD7316" w:rsidRPr="005C47D1">
        <w:rPr>
          <w:rStyle w:val="FootnoteReference"/>
        </w:rPr>
        <w:footnoteReference w:id="9"/>
      </w:r>
    </w:p>
    <w:p w14:paraId="380DABB8" w14:textId="77777777" w:rsidR="008F5B0F" w:rsidRPr="005C47D1" w:rsidRDefault="008F5B0F" w:rsidP="005C47D1">
      <w:pPr>
        <w:spacing w:after="0"/>
        <w:rPr>
          <w:rFonts w:cs="Arial"/>
          <w:b/>
        </w:rPr>
      </w:pPr>
    </w:p>
    <w:p w14:paraId="7F817D11" w14:textId="77777777" w:rsidR="008F5B0F" w:rsidRPr="005C47D1" w:rsidRDefault="008F5B0F" w:rsidP="005C47D1">
      <w:pPr>
        <w:spacing w:after="0"/>
        <w:rPr>
          <w:rFonts w:cs="Arial"/>
          <w:b/>
        </w:rPr>
      </w:pPr>
      <w:r w:rsidRPr="005C47D1">
        <w:rPr>
          <w:rFonts w:cs="Arial"/>
          <w:b/>
        </w:rPr>
        <w:t>Parks, Recreation Facilities and Open Space</w:t>
      </w:r>
    </w:p>
    <w:p w14:paraId="25A80377" w14:textId="77777777" w:rsidR="00CD7316" w:rsidRPr="005C47D1" w:rsidRDefault="002F75DF" w:rsidP="005C47D1">
      <w:pPr>
        <w:spacing w:after="0"/>
        <w:rPr>
          <w:rFonts w:cs="Arial"/>
        </w:rPr>
      </w:pPr>
      <w:r w:rsidRPr="005C47D1">
        <w:rPr>
          <w:rFonts w:cs="Arial"/>
        </w:rPr>
        <w:t>Parks, recreation facilities and open space allow people a place where they can play outdoors and engage in physical activity. However, even though parks and open spaces are available, their activity is often determined by the safety and vitality of the space.</w:t>
      </w:r>
      <w:r w:rsidR="00083CD9" w:rsidRPr="005C47D1">
        <w:rPr>
          <w:rStyle w:val="FootnoteReference"/>
        </w:rPr>
        <w:footnoteReference w:id="10"/>
      </w:r>
      <w:r w:rsidRPr="005C47D1">
        <w:rPr>
          <w:rFonts w:cs="Arial"/>
        </w:rPr>
        <w:t xml:space="preserve"> </w:t>
      </w:r>
      <w:r w:rsidR="00D83668" w:rsidRPr="005C47D1">
        <w:rPr>
          <w:rFonts w:cs="Arial"/>
        </w:rPr>
        <w:t>Allowing schools to open their facilities to the public after hours can improve access to recreation facilities</w:t>
      </w:r>
      <w:r w:rsidRPr="005C47D1">
        <w:rPr>
          <w:rFonts w:cs="Arial"/>
        </w:rPr>
        <w:t xml:space="preserve">. </w:t>
      </w:r>
    </w:p>
    <w:p w14:paraId="3999C3AC" w14:textId="77777777" w:rsidR="008F5B0F" w:rsidRPr="005C47D1" w:rsidRDefault="008F5B0F" w:rsidP="005C47D1">
      <w:pPr>
        <w:spacing w:after="0"/>
        <w:rPr>
          <w:rFonts w:cs="Arial"/>
          <w:b/>
        </w:rPr>
      </w:pPr>
    </w:p>
    <w:p w14:paraId="5AF47659" w14:textId="77777777" w:rsidR="008F5B0F" w:rsidRPr="005C47D1" w:rsidRDefault="008F5B0F" w:rsidP="005C47D1">
      <w:pPr>
        <w:spacing w:after="0"/>
        <w:rPr>
          <w:rFonts w:cs="Arial"/>
          <w:b/>
        </w:rPr>
      </w:pPr>
      <w:r w:rsidRPr="005C47D1">
        <w:rPr>
          <w:rFonts w:cs="Arial"/>
          <w:b/>
        </w:rPr>
        <w:t xml:space="preserve">Safety </w:t>
      </w:r>
    </w:p>
    <w:p w14:paraId="6F6D1E81" w14:textId="77777777" w:rsidR="00083CD9" w:rsidRPr="005C47D1" w:rsidRDefault="00083CD9" w:rsidP="005C47D1">
      <w:pPr>
        <w:spacing w:after="0"/>
        <w:rPr>
          <w:rFonts w:cs="Arial"/>
        </w:rPr>
      </w:pPr>
      <w:r w:rsidRPr="005C47D1">
        <w:rPr>
          <w:rFonts w:cs="Arial"/>
        </w:rPr>
        <w:t>Safety</w:t>
      </w:r>
      <w:r w:rsidR="00CD268E" w:rsidRPr="005C47D1">
        <w:rPr>
          <w:rFonts w:cs="Arial"/>
        </w:rPr>
        <w:t xml:space="preserve"> issues and concerns can often hinder people’s desire and ability to be physically active. Neighborhoods or areas that feel or may be unsafe due to unintentional injury, environmental hazards or </w:t>
      </w:r>
      <w:r w:rsidR="00DB07AB" w:rsidRPr="005C47D1">
        <w:rPr>
          <w:rFonts w:cs="Arial"/>
        </w:rPr>
        <w:t xml:space="preserve">crime and violence may discourage people from being physically active. In many U.S. Affiliated </w:t>
      </w:r>
      <w:r w:rsidR="00DB07AB" w:rsidRPr="005C47D1">
        <w:rPr>
          <w:rFonts w:cs="Arial"/>
        </w:rPr>
        <w:lastRenderedPageBreak/>
        <w:t xml:space="preserve">territories, free roaming dogs present a huge barrier in </w:t>
      </w:r>
      <w:r w:rsidR="007A5850" w:rsidRPr="005C47D1">
        <w:rPr>
          <w:rFonts w:cs="Arial"/>
        </w:rPr>
        <w:t xml:space="preserve">overcoming challenges to increase activity in open spaces and maintaining safety in walkable areas. </w:t>
      </w:r>
      <w:r w:rsidR="0027651A" w:rsidRPr="005C47D1">
        <w:rPr>
          <w:rStyle w:val="FootnoteReference"/>
        </w:rPr>
        <w:footnoteReference w:customMarkFollows="1" w:id="11"/>
        <w:t>11</w:t>
      </w:r>
    </w:p>
    <w:p w14:paraId="48382377" w14:textId="77777777" w:rsidR="007A5850" w:rsidRPr="005C47D1" w:rsidRDefault="000037D8" w:rsidP="005C47D1">
      <w:pPr>
        <w:numPr>
          <w:ilvl w:val="0"/>
          <w:numId w:val="13"/>
        </w:numPr>
        <w:spacing w:after="0"/>
        <w:rPr>
          <w:rFonts w:cs="Arial"/>
        </w:rPr>
      </w:pPr>
      <w:r w:rsidRPr="005C47D1">
        <w:rPr>
          <w:rFonts w:cs="Arial"/>
        </w:rPr>
        <w:t xml:space="preserve">In American Samoa, one-third of adolescents reported being bitten by a dog during the eight month period of the last school year. Of these, 10.4% of males and 16.6% of females cite a fear of dogs as the reason for not getting more physical activity. </w:t>
      </w:r>
      <w:r w:rsidRPr="005C47D1">
        <w:rPr>
          <w:rStyle w:val="FootnoteReference"/>
        </w:rPr>
        <w:footnoteReference w:id="12"/>
      </w:r>
    </w:p>
    <w:p w14:paraId="2CB55596" w14:textId="7FA5A211" w:rsidR="000037D8" w:rsidRPr="005C47D1" w:rsidRDefault="000037D8" w:rsidP="005C47D1">
      <w:pPr>
        <w:numPr>
          <w:ilvl w:val="0"/>
          <w:numId w:val="13"/>
        </w:numPr>
        <w:spacing w:after="0"/>
        <w:rPr>
          <w:rFonts w:cs="Arial"/>
        </w:rPr>
      </w:pPr>
      <w:r w:rsidRPr="005C47D1">
        <w:rPr>
          <w:rFonts w:cs="Arial"/>
        </w:rPr>
        <w:t>Free roaming dogs can impact health in several ways, barking can affect sleep, infected dogs can spread hookworm and roundworm in their feces which can infect children who are barefoot, hungry dogs can tip over garbage cans and litter the environment attracting rats, and dog bites can cause infection and psychologically scar victims preventing them from engaging in activities.</w:t>
      </w:r>
      <w:r w:rsidRPr="005C47D1">
        <w:rPr>
          <w:rStyle w:val="FootnoteReference"/>
        </w:rPr>
        <w:t>11</w:t>
      </w:r>
    </w:p>
    <w:p w14:paraId="43A12EAA" w14:textId="77777777" w:rsidR="008F5B0F" w:rsidRDefault="008F5B0F" w:rsidP="005C47D1">
      <w:pPr>
        <w:spacing w:after="0"/>
        <w:rPr>
          <w:rFonts w:cs="Arial"/>
          <w:b/>
          <w:sz w:val="24"/>
          <w:u w:val="single"/>
        </w:rPr>
      </w:pPr>
    </w:p>
    <w:p w14:paraId="409C98F5" w14:textId="5BDC48B2" w:rsidR="00DC39B3" w:rsidRPr="00595687" w:rsidRDefault="00BD64A6" w:rsidP="00595687">
      <w:pPr>
        <w:rPr>
          <w:i/>
          <w:noProof/>
          <w:sz w:val="24"/>
          <w:u w:val="single"/>
        </w:rPr>
      </w:pPr>
      <w:r>
        <w:rPr>
          <w:b/>
          <w:sz w:val="24"/>
          <w:u w:val="single"/>
        </w:rPr>
        <w:t>Which</w:t>
      </w:r>
      <w:r w:rsidR="008F5B0F" w:rsidRPr="00CE7889">
        <w:rPr>
          <w:b/>
          <w:sz w:val="24"/>
          <w:u w:val="single"/>
        </w:rPr>
        <w:t xml:space="preserve"> </w:t>
      </w:r>
      <w:r w:rsidR="00083CD9">
        <w:rPr>
          <w:b/>
          <w:sz w:val="24"/>
          <w:u w:val="single"/>
        </w:rPr>
        <w:t>policies</w:t>
      </w:r>
      <w:r>
        <w:rPr>
          <w:b/>
          <w:sz w:val="24"/>
          <w:u w:val="single"/>
        </w:rPr>
        <w:t xml:space="preserve"> </w:t>
      </w:r>
      <w:r w:rsidR="008F5B0F" w:rsidRPr="00CE7889">
        <w:rPr>
          <w:b/>
          <w:sz w:val="24"/>
          <w:u w:val="single"/>
        </w:rPr>
        <w:t xml:space="preserve">can help improve the built environment? </w:t>
      </w:r>
    </w:p>
    <w:tbl>
      <w:tblPr>
        <w:tblStyle w:val="TableGrid"/>
        <w:tblpPr w:leftFromText="180" w:rightFromText="180" w:vertAnchor="text" w:horzAnchor="page" w:tblpX="1729" w:tblpY="82"/>
        <w:tblW w:w="0" w:type="auto"/>
        <w:tblLook w:val="00A0" w:firstRow="1" w:lastRow="0" w:firstColumn="1" w:lastColumn="0" w:noHBand="0" w:noVBand="0"/>
      </w:tblPr>
      <w:tblGrid>
        <w:gridCol w:w="9378"/>
      </w:tblGrid>
      <w:tr w:rsidR="00960E64" w:rsidRPr="005C47D1" w14:paraId="2815D68E" w14:textId="77777777" w:rsidTr="0059028E">
        <w:tc>
          <w:tcPr>
            <w:tcW w:w="9378" w:type="dxa"/>
          </w:tcPr>
          <w:p w14:paraId="2C38C13E" w14:textId="594CDE14" w:rsidR="00DC39B3" w:rsidRPr="005C47D1" w:rsidRDefault="00DC39B3" w:rsidP="00BD64A6">
            <w:pPr>
              <w:pStyle w:val="ListParagraph"/>
              <w:numPr>
                <w:ilvl w:val="0"/>
                <w:numId w:val="22"/>
              </w:numPr>
              <w:spacing w:after="0" w:line="240" w:lineRule="auto"/>
              <w:rPr>
                <w:rFonts w:cs="Arial"/>
                <w:b/>
              </w:rPr>
            </w:pPr>
            <w:r w:rsidRPr="005C47D1">
              <w:rPr>
                <w:rFonts w:cs="Arial"/>
                <w:b/>
              </w:rPr>
              <w:t>Policies to allow public use of school athletic facilities after hours</w:t>
            </w:r>
          </w:p>
          <w:p w14:paraId="6533D6B7" w14:textId="5145404F" w:rsidR="00960E64" w:rsidRPr="005C47D1" w:rsidRDefault="00960E64" w:rsidP="00BD64A6">
            <w:pPr>
              <w:spacing w:after="0" w:line="240" w:lineRule="auto"/>
              <w:rPr>
                <w:b/>
              </w:rPr>
            </w:pPr>
            <w:r w:rsidRPr="005C47D1">
              <w:rPr>
                <w:b/>
              </w:rPr>
              <w:t xml:space="preserve">Model Share Use Agreements </w:t>
            </w:r>
            <w:r w:rsidR="001E79FC" w:rsidRPr="005C47D1">
              <w:rPr>
                <w:rStyle w:val="FootnoteReference"/>
              </w:rPr>
              <w:footnoteReference w:id="13"/>
            </w:r>
          </w:p>
          <w:p w14:paraId="10C1218B" w14:textId="7797B812" w:rsidR="00960E64" w:rsidRPr="005C47D1" w:rsidRDefault="005C47D1" w:rsidP="00BD64A6">
            <w:pPr>
              <w:spacing w:after="0" w:line="240" w:lineRule="auto"/>
            </w:pPr>
            <w:r>
              <w:t>National Policy &amp; Legal Analysis Network (</w:t>
            </w:r>
            <w:r w:rsidR="00960E64" w:rsidRPr="005C47D1">
              <w:t>NPLAN</w:t>
            </w:r>
            <w:r>
              <w:t>)</w:t>
            </w:r>
            <w:r w:rsidR="00960E64" w:rsidRPr="005C47D1">
              <w:t xml:space="preserve"> released</w:t>
            </w:r>
            <w:r w:rsidR="00BD64A6">
              <w:t xml:space="preserve"> legal tools t</w:t>
            </w:r>
            <w:r w:rsidR="00960E64" w:rsidRPr="005C47D1">
              <w:t>o help cre</w:t>
            </w:r>
            <w:r w:rsidR="00016C60">
              <w:t>ate shared use agreements</w:t>
            </w:r>
            <w:r w:rsidR="00960E64" w:rsidRPr="005C47D1">
              <w:t xml:space="preserve"> between school districts and local governments. NPLAN has developed four</w:t>
            </w:r>
            <w:r w:rsidR="00BD64A6">
              <w:t xml:space="preserve"> model shared use agreements</w:t>
            </w:r>
            <w:r w:rsidR="00960E64" w:rsidRPr="005C47D1">
              <w:t xml:space="preserve"> that can serve as a template for communities that wish to open up school recreation facilities for after-hours use.</w:t>
            </w:r>
          </w:p>
          <w:p w14:paraId="5C309D06" w14:textId="77777777" w:rsidR="00960E64" w:rsidRPr="005C47D1" w:rsidRDefault="00960E64" w:rsidP="00BD64A6">
            <w:pPr>
              <w:numPr>
                <w:ilvl w:val="0"/>
                <w:numId w:val="23"/>
              </w:numPr>
              <w:spacing w:after="0" w:line="240" w:lineRule="auto"/>
            </w:pPr>
            <w:r w:rsidRPr="005C47D1">
              <w:rPr>
                <w:b/>
                <w:bCs/>
              </w:rPr>
              <w:t>Joint Use Agreement 1:</w:t>
            </w:r>
            <w:r w:rsidRPr="005C47D1">
              <w:t xml:space="preserve"> </w:t>
            </w:r>
            <w:r w:rsidRPr="005C47D1">
              <w:rPr>
                <w:b/>
                <w:bCs/>
              </w:rPr>
              <w:t xml:space="preserve">Opening Outdoor School Facilities for Use </w:t>
            </w:r>
            <w:proofErr w:type="gramStart"/>
            <w:r w:rsidRPr="005C47D1">
              <w:rPr>
                <w:b/>
                <w:bCs/>
              </w:rPr>
              <w:t>During</w:t>
            </w:r>
            <w:proofErr w:type="gramEnd"/>
            <w:r w:rsidRPr="005C47D1">
              <w:rPr>
                <w:b/>
                <w:bCs/>
              </w:rPr>
              <w:t xml:space="preserve"> Non-School Hours</w:t>
            </w:r>
            <w:r w:rsidRPr="005C47D1">
              <w:t xml:space="preserve"> is the simplest of the model joint use agreements. It is an agreement in which the community can use designated school district outdoor recreation facilities.</w:t>
            </w:r>
          </w:p>
          <w:p w14:paraId="5004CC9D" w14:textId="77777777" w:rsidR="00960E64" w:rsidRPr="005C47D1" w:rsidRDefault="00960E64" w:rsidP="00BD64A6">
            <w:pPr>
              <w:numPr>
                <w:ilvl w:val="0"/>
                <w:numId w:val="23"/>
              </w:numPr>
              <w:spacing w:after="0" w:line="240" w:lineRule="auto"/>
            </w:pPr>
            <w:r w:rsidRPr="005C47D1">
              <w:rPr>
                <w:b/>
                <w:bCs/>
              </w:rPr>
              <w:t>Joint Use Agreement 2:</w:t>
            </w:r>
            <w:r w:rsidRPr="005C47D1">
              <w:t xml:space="preserve"> </w:t>
            </w:r>
            <w:r w:rsidRPr="005C47D1">
              <w:rPr>
                <w:b/>
                <w:bCs/>
              </w:rPr>
              <w:t xml:space="preserve">Opening Indoor and Outdoor School Facilities for Use </w:t>
            </w:r>
            <w:proofErr w:type="gramStart"/>
            <w:r w:rsidRPr="005C47D1">
              <w:rPr>
                <w:b/>
                <w:bCs/>
              </w:rPr>
              <w:t>During</w:t>
            </w:r>
            <w:proofErr w:type="gramEnd"/>
            <w:r w:rsidRPr="005C47D1">
              <w:rPr>
                <w:b/>
                <w:bCs/>
              </w:rPr>
              <w:t xml:space="preserve"> Non-School Hours</w:t>
            </w:r>
            <w:r w:rsidRPr="005C47D1">
              <w:t xml:space="preserve"> is a model agreement in which the community can use designated school district indoor and outdoor recreation facilities. </w:t>
            </w:r>
          </w:p>
          <w:p w14:paraId="24E73BFC" w14:textId="77777777" w:rsidR="00960E64" w:rsidRPr="005C47D1" w:rsidRDefault="00960E64" w:rsidP="00BD64A6">
            <w:pPr>
              <w:numPr>
                <w:ilvl w:val="0"/>
                <w:numId w:val="23"/>
              </w:numPr>
              <w:spacing w:after="0" w:line="240" w:lineRule="auto"/>
            </w:pPr>
            <w:r w:rsidRPr="005C47D1">
              <w:rPr>
                <w:b/>
                <w:bCs/>
              </w:rPr>
              <w:t xml:space="preserve">Joint Use Agreement 3: Opening School Facilities for Use </w:t>
            </w:r>
            <w:proofErr w:type="gramStart"/>
            <w:r w:rsidRPr="005C47D1">
              <w:rPr>
                <w:b/>
                <w:bCs/>
              </w:rPr>
              <w:t>During</w:t>
            </w:r>
            <w:proofErr w:type="gramEnd"/>
            <w:r w:rsidRPr="005C47D1">
              <w:rPr>
                <w:b/>
                <w:bCs/>
              </w:rPr>
              <w:t xml:space="preserve"> Non-School Hours &amp; Authorizing Third Parties to Operate Programs</w:t>
            </w:r>
            <w:r w:rsidRPr="005C47D1">
              <w:t xml:space="preserve"> is a model agreement in which the community can use designated school district indoor and outdoor recreation facilities, and it also allows for third parties, such as youth organizations or youth sports leagues, to operate recreation programs using school facilities. </w:t>
            </w:r>
          </w:p>
          <w:p w14:paraId="2CBF1A6F" w14:textId="44977103" w:rsidR="00960E64" w:rsidRPr="005C47D1" w:rsidRDefault="00960E64" w:rsidP="00BD64A6">
            <w:pPr>
              <w:numPr>
                <w:ilvl w:val="0"/>
                <w:numId w:val="23"/>
              </w:numPr>
              <w:spacing w:after="0" w:line="240" w:lineRule="auto"/>
            </w:pPr>
            <w:r w:rsidRPr="005C47D1">
              <w:rPr>
                <w:b/>
                <w:bCs/>
              </w:rPr>
              <w:t>Joint Use Agreement 4: Joint Use of District and City Recreation Facilities</w:t>
            </w:r>
            <w:r w:rsidRPr="005C47D1">
              <w:t xml:space="preserve"> is a model agreement in which the school district and local government agree to open all or designated recreational facilities to each other for community and school use. It also allows for third parties, such as youth organizations or youth sports leagues, to operate recreation programs using school facilities.</w:t>
            </w:r>
          </w:p>
          <w:p w14:paraId="6FAF0313" w14:textId="7C05168C" w:rsidR="008437B8" w:rsidRPr="005C47D1" w:rsidRDefault="00960E64" w:rsidP="00BD64A6">
            <w:pPr>
              <w:spacing w:after="0" w:line="240" w:lineRule="auto"/>
            </w:pPr>
            <w:r w:rsidRPr="005C47D1">
              <w:sym w:font="Wingdings" w:char="F038"/>
            </w:r>
            <w:r w:rsidRPr="005C47D1">
              <w:t xml:space="preserve"> </w:t>
            </w:r>
            <w:hyperlink r:id="rId9" w:history="1">
              <w:r w:rsidR="005C47D1" w:rsidRPr="00B70AA4">
                <w:rPr>
                  <w:rStyle w:val="Hyperlink"/>
                </w:rPr>
                <w:t>http://changelabsolutions.org/publications/model-JUAs-national</w:t>
              </w:r>
            </w:hyperlink>
            <w:r w:rsidR="005C47D1">
              <w:t xml:space="preserve"> </w:t>
            </w:r>
          </w:p>
        </w:tc>
      </w:tr>
    </w:tbl>
    <w:p w14:paraId="1AC701FF" w14:textId="77777777" w:rsidR="00667FE3" w:rsidRDefault="00667FE3" w:rsidP="008F5B0F">
      <w:pPr>
        <w:spacing w:after="0" w:line="240" w:lineRule="auto"/>
        <w:rPr>
          <w:rFonts w:cs="Arial"/>
          <w:b/>
        </w:rPr>
      </w:pPr>
    </w:p>
    <w:p w14:paraId="6A3EFB15" w14:textId="77777777" w:rsidR="00BD64A6" w:rsidRDefault="00BD64A6" w:rsidP="008F5B0F">
      <w:pPr>
        <w:spacing w:after="0" w:line="240" w:lineRule="auto"/>
        <w:rPr>
          <w:rFonts w:cs="Arial"/>
          <w:b/>
        </w:rPr>
      </w:pPr>
    </w:p>
    <w:p w14:paraId="0D3348FF" w14:textId="77777777" w:rsidR="00BD64A6" w:rsidRDefault="00BD64A6" w:rsidP="008F5B0F">
      <w:pPr>
        <w:spacing w:after="0" w:line="240" w:lineRule="auto"/>
        <w:rPr>
          <w:rFonts w:cs="Arial"/>
          <w:b/>
        </w:rPr>
      </w:pPr>
    </w:p>
    <w:p w14:paraId="0384157D" w14:textId="77777777" w:rsidR="00BD64A6" w:rsidRPr="005C47D1" w:rsidRDefault="00BD64A6" w:rsidP="008F5B0F">
      <w:pPr>
        <w:spacing w:after="0" w:line="240" w:lineRule="auto"/>
        <w:rPr>
          <w:rFonts w:cs="Arial"/>
          <w:b/>
        </w:rPr>
      </w:pPr>
    </w:p>
    <w:tbl>
      <w:tblPr>
        <w:tblStyle w:val="TableGrid"/>
        <w:tblW w:w="9360" w:type="dxa"/>
        <w:tblInd w:w="288" w:type="dxa"/>
        <w:tblLook w:val="04A0" w:firstRow="1" w:lastRow="0" w:firstColumn="1" w:lastColumn="0" w:noHBand="0" w:noVBand="1"/>
      </w:tblPr>
      <w:tblGrid>
        <w:gridCol w:w="9360"/>
      </w:tblGrid>
      <w:tr w:rsidR="00FB0D5F" w:rsidRPr="005C47D1" w14:paraId="1AF828A7" w14:textId="77777777" w:rsidTr="0059028E">
        <w:tc>
          <w:tcPr>
            <w:tcW w:w="9360" w:type="dxa"/>
          </w:tcPr>
          <w:p w14:paraId="1D8371F9" w14:textId="77777777" w:rsidR="00595687" w:rsidRPr="005C47D1" w:rsidRDefault="00595687" w:rsidP="00BD64A6">
            <w:pPr>
              <w:spacing w:after="0" w:line="240" w:lineRule="auto"/>
              <w:rPr>
                <w:rFonts w:cs="Arial"/>
                <w:b/>
              </w:rPr>
            </w:pPr>
            <w:r w:rsidRPr="005C47D1">
              <w:rPr>
                <w:rFonts w:cs="Arial"/>
                <w:b/>
              </w:rPr>
              <w:lastRenderedPageBreak/>
              <w:t xml:space="preserve">2. Model dog leash policy implemented and reinforced </w:t>
            </w:r>
          </w:p>
          <w:p w14:paraId="298D280E" w14:textId="27467010" w:rsidR="002B22F1" w:rsidRPr="005C47D1" w:rsidRDefault="00FB0D5F" w:rsidP="00BD64A6">
            <w:pPr>
              <w:spacing w:after="0" w:line="240" w:lineRule="auto"/>
              <w:rPr>
                <w:rFonts w:cs="Arial"/>
                <w:b/>
              </w:rPr>
            </w:pPr>
            <w:r w:rsidRPr="005C47D1">
              <w:rPr>
                <w:rFonts w:cs="Arial"/>
                <w:b/>
              </w:rPr>
              <w:t>Model Dog Leash Policy</w:t>
            </w:r>
          </w:p>
          <w:p w14:paraId="036A22FE" w14:textId="47F5C2FE" w:rsidR="00117EBA" w:rsidRPr="005C47D1" w:rsidRDefault="00FB0D5F" w:rsidP="00BD64A6">
            <w:pPr>
              <w:spacing w:after="0" w:line="240" w:lineRule="auto"/>
              <w:rPr>
                <w:rFonts w:cs="Arial"/>
              </w:rPr>
            </w:pPr>
            <w:r w:rsidRPr="005C47D1">
              <w:rPr>
                <w:rFonts w:cs="Arial"/>
              </w:rPr>
              <w:t xml:space="preserve">Two states within the U.S., Michigan and Pennsylvania have state requirements designating that a dog must be under the control of its owner while on the premises. Michigan provides </w:t>
            </w:r>
            <w:r w:rsidR="00117EBA" w:rsidRPr="005C47D1">
              <w:rPr>
                <w:rFonts w:cs="Arial"/>
              </w:rPr>
              <w:t xml:space="preserve">the clearest example (see below). Other states allow local governments to give ordinances prohibiting dogs to run at large. </w:t>
            </w:r>
            <w:r w:rsidR="00DC39B3" w:rsidRPr="005C47D1">
              <w:rPr>
                <w:rStyle w:val="FootnoteReference"/>
              </w:rPr>
              <w:footnoteReference w:id="14"/>
            </w:r>
          </w:p>
          <w:p w14:paraId="1D789904" w14:textId="77777777" w:rsidR="008C24C6" w:rsidRPr="005C47D1" w:rsidRDefault="008C24C6" w:rsidP="00BD64A6">
            <w:pPr>
              <w:spacing w:after="0" w:line="240" w:lineRule="auto"/>
              <w:rPr>
                <w:rFonts w:cs="Arial"/>
              </w:rPr>
            </w:pPr>
          </w:p>
          <w:p w14:paraId="38909470" w14:textId="72EB60DD" w:rsidR="008C24C6" w:rsidRPr="005C47D1" w:rsidRDefault="008C24C6" w:rsidP="00BD64A6">
            <w:pPr>
              <w:spacing w:after="0" w:line="240" w:lineRule="auto"/>
              <w:rPr>
                <w:rFonts w:cs="Arial"/>
              </w:rPr>
            </w:pPr>
            <w:r w:rsidRPr="005C47D1">
              <w:rPr>
                <w:rFonts w:cs="Arial"/>
                <w:b/>
                <w:bCs/>
              </w:rPr>
              <w:t>287.262 Dogs; licensing, tags, leashes.</w:t>
            </w:r>
            <w:r w:rsidR="00DC39B3" w:rsidRPr="00BD64A6">
              <w:rPr>
                <w:rStyle w:val="FootnoteReference"/>
                <w:bCs/>
              </w:rPr>
              <w:footnoteReference w:id="15"/>
            </w:r>
          </w:p>
          <w:p w14:paraId="1D9B54EC" w14:textId="77777777" w:rsidR="008C24C6" w:rsidRPr="005C47D1" w:rsidRDefault="008C24C6" w:rsidP="00BD64A6">
            <w:pPr>
              <w:spacing w:after="0" w:line="240" w:lineRule="auto"/>
              <w:rPr>
                <w:rFonts w:cs="Arial"/>
              </w:rPr>
            </w:pPr>
            <w:r w:rsidRPr="005C47D1">
              <w:rPr>
                <w:rFonts w:cs="Arial"/>
              </w:rPr>
              <w:t>Sec. 2.</w:t>
            </w:r>
          </w:p>
          <w:p w14:paraId="45C17408" w14:textId="4AEFF5F2" w:rsidR="002B22F1" w:rsidRPr="005C47D1" w:rsidRDefault="008C24C6" w:rsidP="00BD64A6">
            <w:pPr>
              <w:spacing w:after="0" w:line="240" w:lineRule="auto"/>
              <w:rPr>
                <w:rFonts w:cs="Arial"/>
              </w:rPr>
            </w:pPr>
            <w:r w:rsidRPr="005C47D1">
              <w:rPr>
                <w:rFonts w:cs="Arial"/>
              </w:rPr>
              <w:t>It shall be unlawful for any person to own any dog 6 months old or over, unless the dog is licensed as hereinafter provided, or to own any dog 6 months old or over that does not at all times wear a collar with a tag approved by the director of agriculture, attached as hereinafter provided, except when engaged in lawful hunting accompanied by its owner or custodian; or for any owner of any female dog to permit the female dog to go beyond the premises of such owner when she is in heat, unless the female dog is held properly in leash; or for any person except the owner or authorized agent, to remove any license tag from a dog; or for any owner to allow any dog, except working dogs such as leader dogs, guard dogs, farm dogs, hunting dogs, and other such dogs, when accompanied by their owner or his authorized agent, while actively engaged in activities for which such dogs are trained, to stray unless held properly in leash.</w:t>
            </w:r>
          </w:p>
          <w:p w14:paraId="6F1E8CB9" w14:textId="74056522" w:rsidR="002B22F1" w:rsidRPr="005C47D1" w:rsidRDefault="000F2AF6" w:rsidP="00BD64A6">
            <w:pPr>
              <w:spacing w:after="0" w:line="240" w:lineRule="auto"/>
              <w:rPr>
                <w:rFonts w:cs="Arial"/>
              </w:rPr>
            </w:pPr>
            <w:r w:rsidRPr="005C47D1">
              <w:sym w:font="Wingdings" w:char="F038"/>
            </w:r>
            <w:r w:rsidRPr="005C47D1">
              <w:t xml:space="preserve"> </w:t>
            </w:r>
            <w:r w:rsidRPr="005C47D1">
              <w:rPr>
                <w:rFonts w:cs="Arial"/>
              </w:rPr>
              <w:t xml:space="preserve"> </w:t>
            </w:r>
            <w:hyperlink r:id="rId10" w:history="1">
              <w:r w:rsidR="002B22F1" w:rsidRPr="005C47D1">
                <w:rPr>
                  <w:rStyle w:val="Hyperlink"/>
                  <w:rFonts w:cs="Arial"/>
                </w:rPr>
                <w:t>The Dog Law of 1919</w:t>
              </w:r>
            </w:hyperlink>
          </w:p>
          <w:p w14:paraId="78A2B6D3" w14:textId="77777777" w:rsidR="002B22F1" w:rsidRPr="005C47D1" w:rsidRDefault="002B22F1" w:rsidP="00BD64A6">
            <w:pPr>
              <w:spacing w:after="0" w:line="240" w:lineRule="auto"/>
              <w:rPr>
                <w:rFonts w:cs="Arial"/>
              </w:rPr>
            </w:pPr>
          </w:p>
          <w:p w14:paraId="1DB2E3C3" w14:textId="72BB21E6" w:rsidR="008C24C6" w:rsidRPr="005C47D1" w:rsidRDefault="002B22F1" w:rsidP="00BD64A6">
            <w:pPr>
              <w:spacing w:after="0" w:line="240" w:lineRule="auto"/>
              <w:rPr>
                <w:rFonts w:cs="Arial"/>
              </w:rPr>
            </w:pPr>
            <w:r w:rsidRPr="005C47D1">
              <w:rPr>
                <w:rFonts w:cs="Arial"/>
              </w:rPr>
              <w:t>Other examples of leash laws within the U.S. see the table of state dog leash laws from the Animal and Legal Historical Center</w:t>
            </w:r>
            <w:r w:rsidR="005C47D1">
              <w:rPr>
                <w:rFonts w:cs="Arial"/>
              </w:rPr>
              <w:t>.</w:t>
            </w:r>
            <w:r w:rsidRPr="005C47D1">
              <w:rPr>
                <w:rFonts w:cs="Arial"/>
              </w:rPr>
              <w:t xml:space="preserve"> </w:t>
            </w:r>
          </w:p>
          <w:p w14:paraId="026C9761" w14:textId="281D60F6" w:rsidR="002B22F1" w:rsidRPr="005C47D1" w:rsidRDefault="000F2AF6" w:rsidP="00BD64A6">
            <w:pPr>
              <w:spacing w:after="0" w:line="240" w:lineRule="auto"/>
              <w:rPr>
                <w:rFonts w:cs="Arial"/>
              </w:rPr>
            </w:pPr>
            <w:r w:rsidRPr="005C47D1">
              <w:sym w:font="Wingdings" w:char="F038"/>
            </w:r>
            <w:r w:rsidRPr="005C47D1">
              <w:t xml:space="preserve"> </w:t>
            </w:r>
            <w:hyperlink r:id="rId11" w:history="1">
              <w:r w:rsidR="002B22F1" w:rsidRPr="005C47D1">
                <w:rPr>
                  <w:rStyle w:val="Hyperlink"/>
                  <w:rFonts w:cs="Arial"/>
                </w:rPr>
                <w:t>http://www.animallaw.info/articles/State%20Tables/tbusdogleash.htm</w:t>
              </w:r>
            </w:hyperlink>
          </w:p>
        </w:tc>
      </w:tr>
    </w:tbl>
    <w:p w14:paraId="1AB47F78" w14:textId="77777777" w:rsidR="00FB0D5F" w:rsidRDefault="00FB0D5F" w:rsidP="008F5B0F">
      <w:pPr>
        <w:spacing w:after="0" w:line="240" w:lineRule="auto"/>
        <w:rPr>
          <w:rFonts w:cs="Arial"/>
          <w:b/>
        </w:rPr>
      </w:pPr>
    </w:p>
    <w:p w14:paraId="0FEA636C" w14:textId="77777777" w:rsidR="0059028E" w:rsidRDefault="0059028E" w:rsidP="008F5B0F">
      <w:pPr>
        <w:spacing w:after="0" w:line="240" w:lineRule="auto"/>
        <w:rPr>
          <w:rFonts w:cs="Arial"/>
          <w:b/>
        </w:rPr>
      </w:pPr>
    </w:p>
    <w:p w14:paraId="2DF4EBC5" w14:textId="5C434E01" w:rsidR="0059028E" w:rsidRPr="0059028E" w:rsidRDefault="0059028E" w:rsidP="0059028E">
      <w:pPr>
        <w:spacing w:after="0"/>
        <w:rPr>
          <w:b/>
          <w:bCs/>
          <w:sz w:val="24"/>
          <w:u w:val="single"/>
        </w:rPr>
      </w:pPr>
      <w:r>
        <w:rPr>
          <w:b/>
          <w:bCs/>
          <w:sz w:val="24"/>
          <w:u w:val="single"/>
        </w:rPr>
        <w:t>Other s</w:t>
      </w:r>
      <w:r w:rsidRPr="004F1568">
        <w:rPr>
          <w:b/>
          <w:bCs/>
          <w:sz w:val="24"/>
          <w:u w:val="single"/>
        </w:rPr>
        <w:t>uccessful examples</w:t>
      </w:r>
    </w:p>
    <w:p w14:paraId="46982ED9" w14:textId="77777777" w:rsidR="00BD64A6" w:rsidRPr="005C47D1" w:rsidRDefault="00BD64A6" w:rsidP="008F5B0F">
      <w:pPr>
        <w:spacing w:after="0" w:line="240" w:lineRule="auto"/>
        <w:rPr>
          <w:rFonts w:cs="Arial"/>
          <w:b/>
        </w:rPr>
      </w:pPr>
    </w:p>
    <w:tbl>
      <w:tblPr>
        <w:tblStyle w:val="TableGrid"/>
        <w:tblW w:w="9360" w:type="dxa"/>
        <w:tblInd w:w="288" w:type="dxa"/>
        <w:tblLook w:val="04A0" w:firstRow="1" w:lastRow="0" w:firstColumn="1" w:lastColumn="0" w:noHBand="0" w:noVBand="1"/>
      </w:tblPr>
      <w:tblGrid>
        <w:gridCol w:w="9360"/>
      </w:tblGrid>
      <w:tr w:rsidR="00595687" w:rsidRPr="005C47D1" w14:paraId="7500BC12" w14:textId="77777777" w:rsidTr="0059028E">
        <w:tc>
          <w:tcPr>
            <w:tcW w:w="9360" w:type="dxa"/>
          </w:tcPr>
          <w:p w14:paraId="7DB1CD38" w14:textId="33947406" w:rsidR="00595687" w:rsidRPr="005C47D1" w:rsidRDefault="0059028E" w:rsidP="00595687">
            <w:pPr>
              <w:spacing w:after="0" w:line="240" w:lineRule="auto"/>
              <w:rPr>
                <w:rFonts w:cs="Arial"/>
                <w:b/>
              </w:rPr>
            </w:pPr>
            <w:r>
              <w:rPr>
                <w:rFonts w:cs="Arial"/>
                <w:b/>
              </w:rPr>
              <w:t>1</w:t>
            </w:r>
            <w:r w:rsidR="00595687" w:rsidRPr="005C47D1">
              <w:rPr>
                <w:rFonts w:cs="Arial"/>
                <w:b/>
              </w:rPr>
              <w:t>. Fund projects that result in accessible and safe areas for walking</w:t>
            </w:r>
            <w:r w:rsidR="008437B8" w:rsidRPr="001E79FC">
              <w:rPr>
                <w:rStyle w:val="FootnoteReference"/>
              </w:rPr>
              <w:footnoteReference w:id="16"/>
            </w:r>
          </w:p>
          <w:p w14:paraId="13D475EB" w14:textId="51C9334D" w:rsidR="00082A52" w:rsidRPr="005C47D1" w:rsidRDefault="00CD679E" w:rsidP="008F5B0F">
            <w:pPr>
              <w:spacing w:after="0" w:line="240" w:lineRule="auto"/>
              <w:rPr>
                <w:rFonts w:cs="Arial"/>
              </w:rPr>
            </w:pPr>
            <w:r w:rsidRPr="005C47D1">
              <w:rPr>
                <w:rFonts w:cs="Arial"/>
              </w:rPr>
              <w:t xml:space="preserve">Within the U.S. several states </w:t>
            </w:r>
            <w:r w:rsidR="004D3270" w:rsidRPr="005C47D1">
              <w:rPr>
                <w:rFonts w:cs="Arial"/>
              </w:rPr>
              <w:t xml:space="preserve">and local communities </w:t>
            </w:r>
            <w:r w:rsidRPr="005C47D1">
              <w:rPr>
                <w:rFonts w:cs="Arial"/>
              </w:rPr>
              <w:t xml:space="preserve">are </w:t>
            </w:r>
            <w:r w:rsidR="004D3270" w:rsidRPr="005C47D1">
              <w:rPr>
                <w:rFonts w:cs="Arial"/>
              </w:rPr>
              <w:t>designating funding to build safer roads and areas where people can walk and bike. This may be done through licensing fees and motor vehicle</w:t>
            </w:r>
            <w:r w:rsidR="008501B3" w:rsidRPr="005C47D1">
              <w:rPr>
                <w:rFonts w:cs="Arial"/>
              </w:rPr>
              <w:t xml:space="preserve"> or vehicle</w:t>
            </w:r>
            <w:r w:rsidR="004D3270" w:rsidRPr="005C47D1">
              <w:rPr>
                <w:rFonts w:cs="Arial"/>
              </w:rPr>
              <w:t xml:space="preserve"> fuel taxes. </w:t>
            </w:r>
          </w:p>
          <w:p w14:paraId="0FFC5F30" w14:textId="49550808" w:rsidR="004D3270" w:rsidRPr="005C47D1" w:rsidRDefault="008437B8" w:rsidP="008F5B0F">
            <w:pPr>
              <w:spacing w:after="0" w:line="240" w:lineRule="auto"/>
              <w:rPr>
                <w:rFonts w:cs="Arial"/>
                <w:b/>
              </w:rPr>
            </w:pPr>
            <w:r w:rsidRPr="005C47D1">
              <w:rPr>
                <w:rFonts w:cs="Arial"/>
                <w:b/>
              </w:rPr>
              <w:t xml:space="preserve">Government Funding </w:t>
            </w:r>
            <w:r w:rsidR="004D3270" w:rsidRPr="005C47D1">
              <w:rPr>
                <w:rFonts w:cs="Arial"/>
                <w:b/>
              </w:rPr>
              <w:t>Successful Examples:</w:t>
            </w:r>
          </w:p>
          <w:p w14:paraId="48613CFB" w14:textId="556D48DE" w:rsidR="004D3270" w:rsidRPr="005C47D1" w:rsidRDefault="004D3270" w:rsidP="004D3270">
            <w:pPr>
              <w:pStyle w:val="ListParagraph"/>
              <w:numPr>
                <w:ilvl w:val="0"/>
                <w:numId w:val="13"/>
              </w:numPr>
              <w:spacing w:after="0" w:line="240" w:lineRule="auto"/>
              <w:rPr>
                <w:rFonts w:cs="Arial"/>
              </w:rPr>
            </w:pPr>
            <w:r w:rsidRPr="005C47D1">
              <w:rPr>
                <w:rFonts w:cs="Arial"/>
              </w:rPr>
              <w:t>Oregon dedicates 1 percent of state gas-tax revenue to providing improvements for bicycling and walking on state-managed highways.</w:t>
            </w:r>
          </w:p>
          <w:p w14:paraId="11C29124" w14:textId="77777777" w:rsidR="004D3270" w:rsidRPr="005C47D1" w:rsidRDefault="004D3270" w:rsidP="004D3270">
            <w:pPr>
              <w:pStyle w:val="ListParagraph"/>
              <w:numPr>
                <w:ilvl w:val="0"/>
                <w:numId w:val="13"/>
              </w:numPr>
              <w:spacing w:after="0" w:line="240" w:lineRule="auto"/>
              <w:rPr>
                <w:rFonts w:cs="Arial"/>
              </w:rPr>
            </w:pPr>
            <w:r w:rsidRPr="005C47D1">
              <w:rPr>
                <w:rFonts w:cs="Arial"/>
              </w:rPr>
              <w:t>California's Transportation Development Act dedicates 0.25 percent from the statewide 7.75 percent sales tax to public transit support. The funds are returned to the county of origin where the regional transportation planning agency may set-aside 2 percent of the funds for pedestrian and bicycle projects. In San Diego County, where this set-aside has been established, funding levels amount to about $1.7 million per year.</w:t>
            </w:r>
          </w:p>
          <w:p w14:paraId="10611ECA" w14:textId="77777777" w:rsidR="004D3270" w:rsidRPr="005C47D1" w:rsidRDefault="004D3270" w:rsidP="004D3270">
            <w:pPr>
              <w:pStyle w:val="ListParagraph"/>
              <w:numPr>
                <w:ilvl w:val="0"/>
                <w:numId w:val="13"/>
              </w:numPr>
              <w:spacing w:after="0" w:line="240" w:lineRule="auto"/>
              <w:rPr>
                <w:rFonts w:cs="Arial"/>
              </w:rPr>
            </w:pPr>
            <w:r w:rsidRPr="005C47D1">
              <w:rPr>
                <w:rFonts w:cs="Arial"/>
              </w:rPr>
              <w:t xml:space="preserve">The City of Albuquerque, New Mexico, and Bernalillo County, </w:t>
            </w:r>
            <w:proofErr w:type="gramStart"/>
            <w:r w:rsidRPr="005C47D1">
              <w:rPr>
                <w:rFonts w:cs="Arial"/>
              </w:rPr>
              <w:t>have</w:t>
            </w:r>
            <w:proofErr w:type="gramEnd"/>
            <w:r w:rsidRPr="005C47D1">
              <w:rPr>
                <w:rFonts w:cs="Arial"/>
              </w:rPr>
              <w:t xml:space="preserve"> a 5 percent set-aside of street bond funds which go to trails and bikeways. For the City, this has amounted to approximately $1.2 million every two years.</w:t>
            </w:r>
          </w:p>
          <w:p w14:paraId="3399477C" w14:textId="0D4C0EE9" w:rsidR="000F2AF6" w:rsidRPr="00BD64A6" w:rsidRDefault="004D3270" w:rsidP="000F2AF6">
            <w:pPr>
              <w:pStyle w:val="ListParagraph"/>
              <w:numPr>
                <w:ilvl w:val="0"/>
                <w:numId w:val="13"/>
              </w:numPr>
              <w:spacing w:after="0" w:line="240" w:lineRule="auto"/>
              <w:rPr>
                <w:rFonts w:cs="Arial"/>
              </w:rPr>
            </w:pPr>
            <w:r w:rsidRPr="005C47D1">
              <w:rPr>
                <w:rFonts w:cs="Arial"/>
              </w:rPr>
              <w:lastRenderedPageBreak/>
              <w:t>Pinellas County, Florida built much of the Pinellas Trail system with a portion of a one cent sales tax increase voted for by county residents.</w:t>
            </w:r>
          </w:p>
          <w:p w14:paraId="385F9DA0" w14:textId="135CE1A8" w:rsidR="000F2AF6" w:rsidRDefault="000F2AF6" w:rsidP="000F2AF6">
            <w:pPr>
              <w:spacing w:after="0" w:line="240" w:lineRule="auto"/>
            </w:pPr>
            <w:r w:rsidRPr="005C47D1">
              <w:sym w:font="Wingdings" w:char="F038"/>
            </w:r>
            <w:r w:rsidRPr="005C47D1">
              <w:t xml:space="preserve"> </w:t>
            </w:r>
            <w:hyperlink r:id="rId12" w:history="1">
              <w:r w:rsidR="00BD64A6" w:rsidRPr="00B70AA4">
                <w:rPr>
                  <w:rStyle w:val="Hyperlink"/>
                </w:rPr>
                <w:t>http://www.walkinginfo.org/funding/sources-government.cfm</w:t>
              </w:r>
            </w:hyperlink>
            <w:r w:rsidR="00BD64A6">
              <w:t xml:space="preserve"> </w:t>
            </w:r>
            <w:r w:rsidR="00302F1C">
              <w:t>and</w:t>
            </w:r>
          </w:p>
          <w:p w14:paraId="49D11433" w14:textId="430D23D3" w:rsidR="00BD64A6" w:rsidRPr="00BD64A6" w:rsidRDefault="00BD64A6" w:rsidP="000F2AF6">
            <w:pPr>
              <w:spacing w:after="0" w:line="240" w:lineRule="auto"/>
            </w:pPr>
            <w:r>
              <w:sym w:font="Wingdings" w:char="F038"/>
            </w:r>
            <w:hyperlink r:id="rId13" w:history="1">
              <w:r>
                <w:rPr>
                  <w:rStyle w:val="Hyperlink"/>
                </w:rPr>
                <w:t>http://www.walkinginfo.org/develop/policies.cfm</w:t>
              </w:r>
            </w:hyperlink>
          </w:p>
        </w:tc>
      </w:tr>
    </w:tbl>
    <w:p w14:paraId="4E94E624" w14:textId="77777777" w:rsidR="008F5B0F" w:rsidRPr="004F1568" w:rsidRDefault="008F5B0F" w:rsidP="0059028E">
      <w:pPr>
        <w:spacing w:after="0"/>
        <w:ind w:left="180"/>
        <w:rPr>
          <w:bCs/>
        </w:rPr>
      </w:pPr>
    </w:p>
    <w:tbl>
      <w:tblPr>
        <w:tblStyle w:val="TableGrid"/>
        <w:tblW w:w="0" w:type="auto"/>
        <w:tblInd w:w="288" w:type="dxa"/>
        <w:tblLook w:val="00A0" w:firstRow="1" w:lastRow="0" w:firstColumn="1" w:lastColumn="0" w:noHBand="0" w:noVBand="0"/>
      </w:tblPr>
      <w:tblGrid>
        <w:gridCol w:w="9288"/>
      </w:tblGrid>
      <w:tr w:rsidR="008F5B0F" w:rsidRPr="004F1568" w14:paraId="4EEFD36F" w14:textId="77777777" w:rsidTr="0059028E">
        <w:trPr>
          <w:trHeight w:val="755"/>
        </w:trPr>
        <w:tc>
          <w:tcPr>
            <w:tcW w:w="9288" w:type="dxa"/>
          </w:tcPr>
          <w:p w14:paraId="59D779DB" w14:textId="63D97B05" w:rsidR="00541902" w:rsidRPr="0059028E" w:rsidRDefault="004D3270" w:rsidP="0059028E">
            <w:pPr>
              <w:pStyle w:val="ListParagraph"/>
              <w:numPr>
                <w:ilvl w:val="0"/>
                <w:numId w:val="22"/>
              </w:numPr>
              <w:spacing w:after="0"/>
              <w:rPr>
                <w:rFonts w:cs="Arial"/>
                <w:b/>
              </w:rPr>
            </w:pPr>
            <w:r w:rsidRPr="0059028E">
              <w:rPr>
                <w:rFonts w:cs="Arial"/>
                <w:b/>
              </w:rPr>
              <w:t>Policies to allow public use of school athletic facilities after hours</w:t>
            </w:r>
          </w:p>
          <w:p w14:paraId="57F2C098" w14:textId="2C795B7F" w:rsidR="002978FA" w:rsidRPr="005C47D1" w:rsidRDefault="002978FA" w:rsidP="0059028E">
            <w:pPr>
              <w:spacing w:after="0"/>
              <w:rPr>
                <w:b/>
                <w:bCs/>
              </w:rPr>
            </w:pPr>
            <w:r w:rsidRPr="005C47D1">
              <w:rPr>
                <w:b/>
                <w:bCs/>
              </w:rPr>
              <w:t>Case Study: Oakland Unified School District and the City of Oakland</w:t>
            </w:r>
            <w:r w:rsidR="002F7111" w:rsidRPr="001E79FC">
              <w:rPr>
                <w:rStyle w:val="FootnoteReference"/>
                <w:bCs/>
              </w:rPr>
              <w:footnoteReference w:id="17"/>
            </w:r>
          </w:p>
          <w:p w14:paraId="43FDEF79" w14:textId="3284052E" w:rsidR="00541902" w:rsidRPr="005C47D1" w:rsidRDefault="002978FA" w:rsidP="0059028E">
            <w:pPr>
              <w:spacing w:after="0"/>
              <w:rPr>
                <w:bCs/>
              </w:rPr>
            </w:pPr>
            <w:r w:rsidRPr="005C47D1">
              <w:rPr>
                <w:bCs/>
              </w:rPr>
              <w:t xml:space="preserve">Growing concerns regarding childhood obesity, the need for open space, safe places for children to play, gang activity and dropout rates motivated the Oakland Unified School District, the City of Oakland and the Unity Council to team up and provide a community-based school to support after-school physical activity programs for the district’s K–12 students and families. </w:t>
            </w:r>
          </w:p>
          <w:p w14:paraId="3B7C7A0A" w14:textId="77777777" w:rsidR="00541902" w:rsidRPr="005C47D1" w:rsidRDefault="00541902" w:rsidP="0059028E">
            <w:pPr>
              <w:spacing w:after="0"/>
              <w:rPr>
                <w:bCs/>
              </w:rPr>
            </w:pPr>
          </w:p>
          <w:p w14:paraId="6638D27A" w14:textId="7FD8CEA5" w:rsidR="00541902" w:rsidRPr="005C47D1" w:rsidRDefault="002978FA" w:rsidP="0059028E">
            <w:pPr>
              <w:spacing w:after="0"/>
              <w:rPr>
                <w:bCs/>
              </w:rPr>
            </w:pPr>
            <w:r w:rsidRPr="005C47D1">
              <w:rPr>
                <w:bCs/>
              </w:rPr>
              <w:t>A donated piece of land from the city was turned into</w:t>
            </w:r>
            <w:r w:rsidR="00541902" w:rsidRPr="005C47D1">
              <w:rPr>
                <w:bCs/>
              </w:rPr>
              <w:t xml:space="preserve"> the Cesar Chavez Education Center, a synthetic surface soccer field which was funded by the city and a local obligation bond. Maintenance and operations were established through a formal joint memorandum. </w:t>
            </w:r>
          </w:p>
          <w:p w14:paraId="0DC78883" w14:textId="77777777" w:rsidR="00541902" w:rsidRPr="005C47D1" w:rsidRDefault="00541902" w:rsidP="0059028E">
            <w:pPr>
              <w:spacing w:after="0"/>
              <w:rPr>
                <w:bCs/>
              </w:rPr>
            </w:pPr>
          </w:p>
          <w:p w14:paraId="24ED1D2D" w14:textId="698F88D3" w:rsidR="00541902" w:rsidRPr="005C47D1" w:rsidRDefault="00541902" w:rsidP="0059028E">
            <w:pPr>
              <w:spacing w:after="0"/>
              <w:rPr>
                <w:bCs/>
              </w:rPr>
            </w:pPr>
            <w:r w:rsidRPr="005C47D1">
              <w:rPr>
                <w:bCs/>
              </w:rPr>
              <w:t>Currently, the after-school soccer and basketball programs are full, with an additional 10 to 20 teams waiting to be scheduled. This partnership has increased physical activity opportunities</w:t>
            </w:r>
            <w:r w:rsidR="0059028E">
              <w:rPr>
                <w:bCs/>
              </w:rPr>
              <w:t xml:space="preserve"> </w:t>
            </w:r>
            <w:r w:rsidRPr="005C47D1">
              <w:rPr>
                <w:bCs/>
              </w:rPr>
              <w:t>for youth in the community where programs for youth did not previously exist. The district has reported increased academic performance, better behavior from students and decreased vandalism as a result of the program. With the help of the Unity Council, the district hopes to raise additional funds to replicate this model in 10 additional schools in the next five years.</w:t>
            </w:r>
          </w:p>
          <w:p w14:paraId="38AB52BE" w14:textId="77777777" w:rsidR="008F5B0F" w:rsidRPr="005C47D1" w:rsidRDefault="008F5B0F" w:rsidP="0059028E">
            <w:pPr>
              <w:spacing w:after="0"/>
              <w:rPr>
                <w:bCs/>
              </w:rPr>
            </w:pPr>
          </w:p>
          <w:p w14:paraId="0EDF3A0D" w14:textId="275DF2C4" w:rsidR="00541902" w:rsidRPr="005C47D1" w:rsidRDefault="00541902" w:rsidP="0059028E">
            <w:pPr>
              <w:spacing w:after="0"/>
              <w:rPr>
                <w:bCs/>
              </w:rPr>
            </w:pPr>
            <w:r w:rsidRPr="005C47D1">
              <w:rPr>
                <w:bCs/>
              </w:rPr>
              <w:t xml:space="preserve">For more information </w:t>
            </w:r>
            <w:r w:rsidR="00082A52" w:rsidRPr="005C47D1">
              <w:rPr>
                <w:bCs/>
              </w:rPr>
              <w:t>see this brochure on maximizing physical activity through joint use of facilities</w:t>
            </w:r>
            <w:r w:rsidR="00016C60">
              <w:rPr>
                <w:bCs/>
              </w:rPr>
              <w:t>:</w:t>
            </w:r>
            <w:r w:rsidR="00082A52" w:rsidRPr="005C47D1">
              <w:rPr>
                <w:bCs/>
              </w:rPr>
              <w:t xml:space="preserve"> </w:t>
            </w:r>
          </w:p>
          <w:p w14:paraId="7E30FD98" w14:textId="7599C25F" w:rsidR="00CB6631" w:rsidRPr="000F2AF6" w:rsidRDefault="00016C60" w:rsidP="0059028E">
            <w:pPr>
              <w:spacing w:after="0"/>
              <w:rPr>
                <w:bCs/>
              </w:rPr>
            </w:pPr>
            <w:r>
              <w:sym w:font="Wingdings" w:char="F038"/>
            </w:r>
            <w:hyperlink r:id="rId14" w:history="1">
              <w:r>
                <w:rPr>
                  <w:rStyle w:val="Hyperlink"/>
                </w:rPr>
                <w:t>http://www.csba.org/GovernanceAndPolicyResources/DistrictPolicyServices/~/media/CSBA/Files/GovernanceResources/PolicyNews_Briefs/StudentHealth/PhysEd_Actviity/2010_02_PolicyBrief_MaximizingOppsForPhysicalActivity_JointUse.ashx</w:t>
              </w:r>
            </w:hyperlink>
          </w:p>
        </w:tc>
      </w:tr>
    </w:tbl>
    <w:p w14:paraId="618F2C87" w14:textId="77777777" w:rsidR="008F5B0F" w:rsidRPr="004F1568" w:rsidRDefault="008F5B0F" w:rsidP="008F5B0F">
      <w:pPr>
        <w:spacing w:after="0"/>
        <w:rPr>
          <w:bCs/>
        </w:rPr>
      </w:pPr>
    </w:p>
    <w:p w14:paraId="56B74A6D" w14:textId="77777777" w:rsidR="00016C60" w:rsidRDefault="00016C60" w:rsidP="008F5B0F">
      <w:pPr>
        <w:spacing w:after="0"/>
        <w:rPr>
          <w:b/>
        </w:rPr>
      </w:pPr>
    </w:p>
    <w:p w14:paraId="3AA071AC" w14:textId="5DF5E8B3" w:rsidR="008F5B0F" w:rsidRPr="00302F1C" w:rsidRDefault="008F5B0F" w:rsidP="00302F1C">
      <w:pPr>
        <w:widowControl w:val="0"/>
        <w:tabs>
          <w:tab w:val="left" w:pos="940"/>
          <w:tab w:val="left" w:pos="1440"/>
        </w:tabs>
        <w:autoSpaceDE w:val="0"/>
        <w:autoSpaceDN w:val="0"/>
        <w:adjustRightInd w:val="0"/>
        <w:spacing w:after="0" w:line="240" w:lineRule="auto"/>
        <w:rPr>
          <w:rFonts w:cs="Times"/>
          <w:b/>
          <w:sz w:val="24"/>
          <w:u w:val="single"/>
        </w:rPr>
      </w:pPr>
      <w:r w:rsidRPr="00302F1C">
        <w:rPr>
          <w:rFonts w:cs="Times"/>
          <w:b/>
          <w:sz w:val="24"/>
          <w:u w:val="single"/>
        </w:rPr>
        <w:t>Who can I contact for more information?</w:t>
      </w:r>
    </w:p>
    <w:p w14:paraId="00415033" w14:textId="77777777" w:rsidR="00302F1C" w:rsidRDefault="008F5B0F" w:rsidP="00302F1C">
      <w:pPr>
        <w:widowControl w:val="0"/>
        <w:tabs>
          <w:tab w:val="left" w:pos="940"/>
          <w:tab w:val="left" w:pos="1440"/>
        </w:tabs>
        <w:autoSpaceDE w:val="0"/>
        <w:autoSpaceDN w:val="0"/>
        <w:adjustRightInd w:val="0"/>
        <w:spacing w:after="0"/>
        <w:rPr>
          <w:rFonts w:cs="Times"/>
        </w:rPr>
      </w:pPr>
      <w:r>
        <w:rPr>
          <w:rFonts w:cs="Times"/>
        </w:rPr>
        <w:tab/>
      </w:r>
      <w:r w:rsidR="00302F1C">
        <w:rPr>
          <w:rFonts w:cs="Times"/>
        </w:rPr>
        <w:t>Adrian Bauman</w:t>
      </w:r>
    </w:p>
    <w:p w14:paraId="64AE5CE9" w14:textId="77777777"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102F532E" w14:textId="77777777"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t>University of Sydney</w:t>
      </w:r>
    </w:p>
    <w:p w14:paraId="0296C93B" w14:textId="77777777"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6DB294C7" w14:textId="5C33FBE5"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Pr>
            <w:rStyle w:val="Hyperlink"/>
            <w:shd w:val="clear" w:color="auto" w:fill="FFFFFF"/>
          </w:rPr>
          <w:t>adrian.bauman@sydney.edu.au</w:t>
        </w:r>
      </w:hyperlink>
      <w:r>
        <w:t xml:space="preserve"> </w:t>
      </w:r>
    </w:p>
    <w:p w14:paraId="3835B4D1" w14:textId="50F91FAF" w:rsidR="008F5B0F" w:rsidRPr="004F1568" w:rsidRDefault="008F5B0F" w:rsidP="008F5B0F">
      <w:pPr>
        <w:widowControl w:val="0"/>
        <w:tabs>
          <w:tab w:val="left" w:pos="940"/>
          <w:tab w:val="left" w:pos="1440"/>
        </w:tabs>
        <w:autoSpaceDE w:val="0"/>
        <w:autoSpaceDN w:val="0"/>
        <w:adjustRightInd w:val="0"/>
        <w:spacing w:after="0"/>
        <w:rPr>
          <w:rFonts w:cs="Times"/>
        </w:rPr>
      </w:pPr>
    </w:p>
    <w:p w14:paraId="7F668DE3" w14:textId="77777777" w:rsidR="008F5B0F" w:rsidRDefault="008F5B0F" w:rsidP="008F5B0F">
      <w:pPr>
        <w:spacing w:after="0" w:line="240" w:lineRule="auto"/>
        <w:outlineLvl w:val="1"/>
        <w:rPr>
          <w:b/>
          <w:bCs/>
        </w:rPr>
      </w:pPr>
    </w:p>
    <w:p w14:paraId="1C5E471C" w14:textId="77777777" w:rsidR="008F5B0F" w:rsidRDefault="008F5B0F" w:rsidP="008F5B0F">
      <w:pPr>
        <w:spacing w:after="0" w:line="240" w:lineRule="auto"/>
        <w:outlineLvl w:val="1"/>
        <w:rPr>
          <w:b/>
          <w:bCs/>
        </w:rPr>
      </w:pPr>
    </w:p>
    <w:p w14:paraId="541465E5" w14:textId="4F1301C2" w:rsidR="008F5B0F" w:rsidRPr="00AA3BA3" w:rsidRDefault="008F5B0F" w:rsidP="008F5B0F">
      <w:pPr>
        <w:widowControl w:val="0"/>
        <w:tabs>
          <w:tab w:val="left" w:pos="940"/>
          <w:tab w:val="left" w:pos="1440"/>
        </w:tabs>
        <w:autoSpaceDE w:val="0"/>
        <w:autoSpaceDN w:val="0"/>
        <w:adjustRightInd w:val="0"/>
        <w:spacing w:after="0"/>
        <w:rPr>
          <w:rFonts w:cs="Times"/>
        </w:rPr>
      </w:pPr>
    </w:p>
    <w:sectPr w:rsidR="008F5B0F" w:rsidRPr="00AA3BA3" w:rsidSect="008F5B0F">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9B03B8" w14:textId="77777777" w:rsidR="00C93FC0" w:rsidRDefault="00C93FC0" w:rsidP="008F5B0F">
      <w:pPr>
        <w:spacing w:after="0" w:line="240" w:lineRule="auto"/>
      </w:pPr>
      <w:r>
        <w:separator/>
      </w:r>
    </w:p>
  </w:endnote>
  <w:endnote w:type="continuationSeparator" w:id="0">
    <w:p w14:paraId="08E1A137" w14:textId="77777777" w:rsidR="00C93FC0" w:rsidRDefault="00C93FC0" w:rsidP="008F5B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2240D4" w14:textId="753F1910" w:rsidR="001B294D" w:rsidRDefault="005B3A1B" w:rsidP="008F5B0F">
    <w:pPr>
      <w:pStyle w:val="Footer"/>
      <w:pBdr>
        <w:top w:val="thinThickSmallGap" w:sz="24" w:space="1" w:color="622423"/>
      </w:pBdr>
      <w:tabs>
        <w:tab w:val="clear" w:pos="4680"/>
      </w:tabs>
      <w:rPr>
        <w:rFonts w:ascii="Cambria" w:hAnsi="Cambria"/>
      </w:rPr>
    </w:pPr>
    <w:r>
      <w:rPr>
        <w:rFonts w:ascii="Cambria" w:hAnsi="Cambria"/>
      </w:rPr>
      <w:t>Public Health</w:t>
    </w:r>
    <w:r w:rsidR="001B294D">
      <w:rPr>
        <w:rFonts w:ascii="Cambria" w:hAnsi="Cambria"/>
      </w:rPr>
      <w:t xml:space="preserve"> Fact Sheet &amp; Talking Points</w:t>
    </w:r>
    <w:r w:rsidR="005C47D1">
      <w:rPr>
        <w:rFonts w:ascii="Cambria" w:hAnsi="Cambria"/>
      </w:rPr>
      <w:tab/>
    </w:r>
    <w:r w:rsidR="001B294D">
      <w:rPr>
        <w:rFonts w:ascii="Cambria" w:hAnsi="Cambria"/>
      </w:rPr>
      <w:t xml:space="preserve">Page </w:t>
    </w:r>
    <w:r w:rsidR="001B294D">
      <w:fldChar w:fldCharType="begin"/>
    </w:r>
    <w:r w:rsidR="001B294D">
      <w:instrText xml:space="preserve"> PAGE   \* MERGEFORMAT </w:instrText>
    </w:r>
    <w:r w:rsidR="001B294D">
      <w:fldChar w:fldCharType="separate"/>
    </w:r>
    <w:r w:rsidR="004554FF" w:rsidRPr="004554FF">
      <w:rPr>
        <w:rFonts w:ascii="Cambria" w:hAnsi="Cambria"/>
        <w:noProof/>
      </w:rPr>
      <w:t>5</w:t>
    </w:r>
    <w:r w:rsidR="001B294D">
      <w:fldChar w:fldCharType="end"/>
    </w:r>
  </w:p>
  <w:p w14:paraId="451DE06E" w14:textId="77777777" w:rsidR="001B294D" w:rsidRDefault="001B294D" w:rsidP="008F5B0F">
    <w:pPr>
      <w:pStyle w:val="Footer"/>
      <w:tabs>
        <w:tab w:val="clear" w:pos="46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BFFB0F" w14:textId="77777777" w:rsidR="00C93FC0" w:rsidRDefault="00C93FC0" w:rsidP="008F5B0F">
      <w:pPr>
        <w:spacing w:after="0" w:line="240" w:lineRule="auto"/>
      </w:pPr>
      <w:r>
        <w:separator/>
      </w:r>
    </w:p>
  </w:footnote>
  <w:footnote w:type="continuationSeparator" w:id="0">
    <w:p w14:paraId="16B05E61" w14:textId="77777777" w:rsidR="00C93FC0" w:rsidRDefault="00C93FC0" w:rsidP="008F5B0F">
      <w:pPr>
        <w:spacing w:after="0" w:line="240" w:lineRule="auto"/>
      </w:pPr>
      <w:r>
        <w:continuationSeparator/>
      </w:r>
    </w:p>
  </w:footnote>
  <w:footnote w:id="1">
    <w:p w14:paraId="3DA14223"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cs="Calibri"/>
          <w:color w:val="000000"/>
          <w:sz w:val="14"/>
          <w:szCs w:val="14"/>
        </w:rPr>
        <w:t xml:space="preserve">Gordon-Larsen, P., Nelson, M., Page, P., &amp; </w:t>
      </w:r>
      <w:proofErr w:type="spellStart"/>
      <w:r w:rsidRPr="005C47D1">
        <w:rPr>
          <w:rFonts w:asciiTheme="minorHAnsi" w:hAnsiTheme="minorHAnsi" w:cs="Calibri"/>
          <w:color w:val="000000"/>
          <w:sz w:val="14"/>
          <w:szCs w:val="14"/>
        </w:rPr>
        <w:t>Popkin</w:t>
      </w:r>
      <w:proofErr w:type="spellEnd"/>
      <w:r w:rsidRPr="005C47D1">
        <w:rPr>
          <w:rFonts w:asciiTheme="minorHAnsi" w:hAnsiTheme="minorHAnsi" w:cs="Calibri"/>
          <w:color w:val="000000"/>
          <w:sz w:val="14"/>
          <w:szCs w:val="14"/>
        </w:rPr>
        <w:t>, B. (2006).</w:t>
      </w:r>
      <w:proofErr w:type="gramEnd"/>
      <w:r w:rsidRPr="005C47D1">
        <w:rPr>
          <w:rFonts w:asciiTheme="minorHAnsi" w:hAnsiTheme="minorHAnsi" w:cs="Calibri"/>
          <w:color w:val="000000"/>
          <w:sz w:val="14"/>
          <w:szCs w:val="14"/>
        </w:rPr>
        <w:t xml:space="preserve"> Inequality in the built environment underlies key health disparities in physical activity and obesity. </w:t>
      </w:r>
      <w:proofErr w:type="gramStart"/>
      <w:r w:rsidRPr="005C47D1">
        <w:rPr>
          <w:rFonts w:asciiTheme="minorHAnsi" w:hAnsiTheme="minorHAnsi" w:cs="Calibri"/>
          <w:i/>
          <w:iCs/>
          <w:color w:val="000000"/>
          <w:sz w:val="14"/>
          <w:szCs w:val="14"/>
        </w:rPr>
        <w:t xml:space="preserve">Pediatrics </w:t>
      </w:r>
      <w:r w:rsidRPr="005C47D1">
        <w:rPr>
          <w:rFonts w:asciiTheme="minorHAnsi" w:hAnsiTheme="minorHAnsi" w:cs="Calibri"/>
          <w:color w:val="000000"/>
          <w:sz w:val="14"/>
          <w:szCs w:val="14"/>
        </w:rPr>
        <w:t>117(2), 471-424.</w:t>
      </w:r>
      <w:proofErr w:type="gramEnd"/>
    </w:p>
  </w:footnote>
  <w:footnote w:id="2">
    <w:p w14:paraId="6E73073D"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cs="Calibri"/>
          <w:color w:val="000000"/>
          <w:sz w:val="14"/>
          <w:szCs w:val="14"/>
        </w:rPr>
        <w:t xml:space="preserve">Frank, L., </w:t>
      </w:r>
      <w:proofErr w:type="spellStart"/>
      <w:r w:rsidRPr="005C47D1">
        <w:rPr>
          <w:rFonts w:asciiTheme="minorHAnsi" w:hAnsiTheme="minorHAnsi" w:cs="Calibri"/>
          <w:color w:val="000000"/>
          <w:sz w:val="14"/>
          <w:szCs w:val="14"/>
        </w:rPr>
        <w:t>Engelke</w:t>
      </w:r>
      <w:proofErr w:type="spellEnd"/>
      <w:r w:rsidRPr="005C47D1">
        <w:rPr>
          <w:rFonts w:asciiTheme="minorHAnsi" w:hAnsiTheme="minorHAnsi" w:cs="Calibri"/>
          <w:color w:val="000000"/>
          <w:sz w:val="14"/>
          <w:szCs w:val="14"/>
        </w:rPr>
        <w:t xml:space="preserve">, P., &amp; </w:t>
      </w:r>
      <w:proofErr w:type="spellStart"/>
      <w:r w:rsidRPr="005C47D1">
        <w:rPr>
          <w:rFonts w:asciiTheme="minorHAnsi" w:hAnsiTheme="minorHAnsi" w:cs="Calibri"/>
          <w:color w:val="000000"/>
          <w:sz w:val="14"/>
          <w:szCs w:val="14"/>
        </w:rPr>
        <w:t>Schmid</w:t>
      </w:r>
      <w:proofErr w:type="spellEnd"/>
      <w:r w:rsidRPr="005C47D1">
        <w:rPr>
          <w:rFonts w:asciiTheme="minorHAnsi" w:hAnsiTheme="minorHAnsi" w:cs="Calibri"/>
          <w:color w:val="000000"/>
          <w:sz w:val="14"/>
          <w:szCs w:val="14"/>
        </w:rPr>
        <w:t>, T. (2003).</w:t>
      </w:r>
      <w:proofErr w:type="gramEnd"/>
      <w:r w:rsidRPr="005C47D1">
        <w:rPr>
          <w:rFonts w:asciiTheme="minorHAnsi" w:hAnsiTheme="minorHAnsi" w:cs="Calibri"/>
          <w:color w:val="000000"/>
          <w:sz w:val="14"/>
          <w:szCs w:val="14"/>
        </w:rPr>
        <w:t xml:space="preserve"> </w:t>
      </w:r>
      <w:r w:rsidRPr="005C47D1">
        <w:rPr>
          <w:rFonts w:asciiTheme="minorHAnsi" w:hAnsiTheme="minorHAnsi" w:cs="Calibri"/>
          <w:i/>
          <w:iCs/>
          <w:color w:val="000000"/>
          <w:sz w:val="14"/>
          <w:szCs w:val="14"/>
        </w:rPr>
        <w:t xml:space="preserve">Health and community design: The impact of the built environment on physical activity. </w:t>
      </w:r>
      <w:r w:rsidRPr="005C47D1">
        <w:rPr>
          <w:rFonts w:asciiTheme="minorHAnsi" w:hAnsiTheme="minorHAnsi" w:cs="Calibri"/>
          <w:color w:val="000000"/>
          <w:sz w:val="14"/>
          <w:szCs w:val="14"/>
        </w:rPr>
        <w:t>Washington, DC: Island Press.</w:t>
      </w:r>
    </w:p>
  </w:footnote>
  <w:footnote w:id="3">
    <w:p w14:paraId="4DE996C9"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cs="Calibri"/>
          <w:color w:val="000000"/>
          <w:sz w:val="14"/>
          <w:szCs w:val="14"/>
        </w:rPr>
        <w:t xml:space="preserve">Lee, V., </w:t>
      </w:r>
      <w:proofErr w:type="spellStart"/>
      <w:r w:rsidRPr="005C47D1">
        <w:rPr>
          <w:rFonts w:asciiTheme="minorHAnsi" w:hAnsiTheme="minorHAnsi" w:cs="Calibri"/>
          <w:color w:val="000000"/>
          <w:sz w:val="14"/>
          <w:szCs w:val="14"/>
        </w:rPr>
        <w:t>Mikkelsen</w:t>
      </w:r>
      <w:proofErr w:type="spellEnd"/>
      <w:r w:rsidRPr="005C47D1">
        <w:rPr>
          <w:rFonts w:asciiTheme="minorHAnsi" w:hAnsiTheme="minorHAnsi" w:cs="Calibri"/>
          <w:color w:val="000000"/>
          <w:sz w:val="14"/>
          <w:szCs w:val="14"/>
        </w:rPr>
        <w:t xml:space="preserve">, L., </w:t>
      </w:r>
      <w:proofErr w:type="spellStart"/>
      <w:r w:rsidRPr="005C47D1">
        <w:rPr>
          <w:rFonts w:asciiTheme="minorHAnsi" w:hAnsiTheme="minorHAnsi" w:cs="Calibri"/>
          <w:color w:val="000000"/>
          <w:sz w:val="14"/>
          <w:szCs w:val="14"/>
        </w:rPr>
        <w:t>Srikantharajah</w:t>
      </w:r>
      <w:proofErr w:type="spellEnd"/>
      <w:r w:rsidRPr="005C47D1">
        <w:rPr>
          <w:rFonts w:asciiTheme="minorHAnsi" w:hAnsiTheme="minorHAnsi" w:cs="Calibri"/>
          <w:color w:val="000000"/>
          <w:sz w:val="14"/>
          <w:szCs w:val="14"/>
        </w:rPr>
        <w:t>, J., &amp; Cohen, L. (2008).</w:t>
      </w:r>
      <w:proofErr w:type="gramEnd"/>
      <w:r w:rsidRPr="005C47D1">
        <w:rPr>
          <w:rFonts w:asciiTheme="minorHAnsi" w:hAnsiTheme="minorHAnsi" w:cs="Calibri"/>
          <w:color w:val="000000"/>
          <w:sz w:val="14"/>
          <w:szCs w:val="14"/>
        </w:rPr>
        <w:t xml:space="preserve"> </w:t>
      </w:r>
      <w:proofErr w:type="gramStart"/>
      <w:r w:rsidRPr="005C47D1">
        <w:rPr>
          <w:rFonts w:asciiTheme="minorHAnsi" w:hAnsiTheme="minorHAnsi" w:cs="Calibri"/>
          <w:i/>
          <w:iCs/>
          <w:color w:val="000000"/>
          <w:sz w:val="14"/>
          <w:szCs w:val="14"/>
        </w:rPr>
        <w:t>Strategies for enhancing the built environment to support healthy eating and active living environments.</w:t>
      </w:r>
      <w:proofErr w:type="gramEnd"/>
      <w:r w:rsidRPr="005C47D1">
        <w:rPr>
          <w:rFonts w:asciiTheme="minorHAnsi" w:hAnsiTheme="minorHAnsi" w:cs="Calibri"/>
          <w:i/>
          <w:iCs/>
          <w:color w:val="000000"/>
          <w:sz w:val="14"/>
          <w:szCs w:val="14"/>
        </w:rPr>
        <w:t xml:space="preserve"> </w:t>
      </w:r>
      <w:r w:rsidRPr="005C47D1">
        <w:rPr>
          <w:rFonts w:asciiTheme="minorHAnsi" w:hAnsiTheme="minorHAnsi" w:cs="Calibri"/>
          <w:color w:val="000000"/>
          <w:sz w:val="14"/>
          <w:szCs w:val="14"/>
        </w:rPr>
        <w:t xml:space="preserve">Oakland, CA: Prevention Institute, Healthy Eating Active Living Convergence Partnership and </w:t>
      </w:r>
      <w:proofErr w:type="spellStart"/>
      <w:r w:rsidRPr="005C47D1">
        <w:rPr>
          <w:rFonts w:asciiTheme="minorHAnsi" w:hAnsiTheme="minorHAnsi" w:cs="Calibri"/>
          <w:color w:val="000000"/>
          <w:sz w:val="14"/>
          <w:szCs w:val="14"/>
        </w:rPr>
        <w:t>PolicyLink</w:t>
      </w:r>
      <w:proofErr w:type="spellEnd"/>
      <w:r w:rsidRPr="005C47D1">
        <w:rPr>
          <w:rFonts w:asciiTheme="minorHAnsi" w:hAnsiTheme="minorHAnsi" w:cs="Calibri"/>
          <w:color w:val="000000"/>
          <w:sz w:val="14"/>
          <w:szCs w:val="14"/>
        </w:rPr>
        <w:t>.</w:t>
      </w:r>
    </w:p>
  </w:footnote>
  <w:footnote w:id="4">
    <w:p w14:paraId="154A7EF4"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r w:rsidRPr="005C47D1">
        <w:rPr>
          <w:rFonts w:asciiTheme="minorHAnsi" w:hAnsiTheme="minorHAnsi" w:cs="Calibri"/>
          <w:color w:val="000000"/>
          <w:sz w:val="14"/>
          <w:szCs w:val="14"/>
        </w:rPr>
        <w:t xml:space="preserve">Ding, D., </w:t>
      </w:r>
      <w:proofErr w:type="spellStart"/>
      <w:r w:rsidRPr="005C47D1">
        <w:rPr>
          <w:rFonts w:asciiTheme="minorHAnsi" w:hAnsiTheme="minorHAnsi" w:cs="Calibri"/>
          <w:color w:val="000000"/>
          <w:sz w:val="14"/>
          <w:szCs w:val="14"/>
        </w:rPr>
        <w:t>Sallis</w:t>
      </w:r>
      <w:proofErr w:type="spellEnd"/>
      <w:r w:rsidRPr="005C47D1">
        <w:rPr>
          <w:rFonts w:asciiTheme="minorHAnsi" w:hAnsiTheme="minorHAnsi" w:cs="Calibri"/>
          <w:color w:val="000000"/>
          <w:sz w:val="14"/>
          <w:szCs w:val="14"/>
        </w:rPr>
        <w:t xml:space="preserve">, F., Kerr, J., Lee, S., &amp; Rosenberg, D.E (2011). </w:t>
      </w:r>
      <w:proofErr w:type="gramStart"/>
      <w:r w:rsidRPr="005C47D1">
        <w:rPr>
          <w:rFonts w:asciiTheme="minorHAnsi" w:hAnsiTheme="minorHAnsi" w:cs="Calibri"/>
          <w:color w:val="000000"/>
          <w:sz w:val="14"/>
          <w:szCs w:val="14"/>
        </w:rPr>
        <w:t>Neighborhood environment and physical activity among youth a review.</w:t>
      </w:r>
      <w:proofErr w:type="gramEnd"/>
      <w:r w:rsidRPr="005C47D1">
        <w:rPr>
          <w:rFonts w:asciiTheme="minorHAnsi" w:hAnsiTheme="minorHAnsi" w:cs="Calibri"/>
          <w:color w:val="000000"/>
          <w:sz w:val="14"/>
          <w:szCs w:val="14"/>
        </w:rPr>
        <w:t xml:space="preserve"> </w:t>
      </w:r>
      <w:r w:rsidRPr="005C47D1">
        <w:rPr>
          <w:rFonts w:asciiTheme="minorHAnsi" w:hAnsiTheme="minorHAnsi" w:cs="Calibri"/>
          <w:i/>
          <w:iCs/>
          <w:color w:val="000000"/>
          <w:sz w:val="14"/>
          <w:szCs w:val="14"/>
        </w:rPr>
        <w:t xml:space="preserve">American Journal of Preventative Medicine </w:t>
      </w:r>
      <w:r w:rsidRPr="005C47D1">
        <w:rPr>
          <w:rFonts w:asciiTheme="minorHAnsi" w:hAnsiTheme="minorHAnsi" w:cs="Calibri"/>
          <w:color w:val="000000"/>
          <w:sz w:val="14"/>
          <w:szCs w:val="14"/>
        </w:rPr>
        <w:t>41(4), 442-455.</w:t>
      </w:r>
    </w:p>
  </w:footnote>
  <w:footnote w:id="5">
    <w:p w14:paraId="65F519A0" w14:textId="7B81BE72"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005C47D1">
        <w:rPr>
          <w:rFonts w:asciiTheme="minorHAnsi" w:hAnsiTheme="minorHAnsi"/>
          <w:sz w:val="14"/>
          <w:szCs w:val="14"/>
        </w:rPr>
        <w:t xml:space="preserve"> </w:t>
      </w:r>
      <w:proofErr w:type="spellStart"/>
      <w:r w:rsidR="005C47D1">
        <w:rPr>
          <w:rFonts w:asciiTheme="minorHAnsi" w:hAnsiTheme="minorHAnsi"/>
          <w:sz w:val="14"/>
          <w:szCs w:val="14"/>
        </w:rPr>
        <w:t>Vargo</w:t>
      </w:r>
      <w:proofErr w:type="spellEnd"/>
      <w:r w:rsidR="005C47D1">
        <w:rPr>
          <w:rFonts w:asciiTheme="minorHAnsi" w:hAnsiTheme="minorHAnsi"/>
          <w:sz w:val="14"/>
          <w:szCs w:val="14"/>
        </w:rPr>
        <w:t>, D.</w:t>
      </w:r>
      <w:proofErr w:type="gramStart"/>
      <w:r w:rsidR="005C47D1">
        <w:rPr>
          <w:rFonts w:asciiTheme="minorHAnsi" w:hAnsiTheme="minorHAnsi"/>
          <w:sz w:val="14"/>
          <w:szCs w:val="14"/>
        </w:rPr>
        <w:t>,</w:t>
      </w:r>
      <w:proofErr w:type="spellStart"/>
      <w:r w:rsidR="005C47D1">
        <w:rPr>
          <w:rFonts w:asciiTheme="minorHAnsi" w:hAnsiTheme="minorHAnsi"/>
          <w:sz w:val="14"/>
          <w:szCs w:val="14"/>
        </w:rPr>
        <w:t>DePasquale</w:t>
      </w:r>
      <w:proofErr w:type="spellEnd"/>
      <w:proofErr w:type="gramEnd"/>
      <w:r w:rsidR="005C47D1">
        <w:rPr>
          <w:rFonts w:asciiTheme="minorHAnsi" w:hAnsiTheme="minorHAnsi"/>
          <w:sz w:val="14"/>
          <w:szCs w:val="14"/>
        </w:rPr>
        <w:t xml:space="preserve">, J., </w:t>
      </w:r>
      <w:proofErr w:type="spellStart"/>
      <w:r w:rsidR="005C47D1">
        <w:rPr>
          <w:rFonts w:asciiTheme="minorHAnsi" w:hAnsiTheme="minorHAnsi"/>
          <w:sz w:val="14"/>
          <w:szCs w:val="14"/>
        </w:rPr>
        <w:t>Vargo</w:t>
      </w:r>
      <w:proofErr w:type="spellEnd"/>
      <w:r w:rsidR="005C47D1">
        <w:rPr>
          <w:rFonts w:asciiTheme="minorHAnsi" w:hAnsiTheme="minorHAnsi"/>
          <w:sz w:val="14"/>
          <w:szCs w:val="14"/>
        </w:rPr>
        <w:t>, A.</w:t>
      </w:r>
      <w:r w:rsidRPr="005C47D1">
        <w:rPr>
          <w:rFonts w:asciiTheme="minorHAnsi" w:hAnsiTheme="minorHAnsi"/>
          <w:sz w:val="14"/>
          <w:szCs w:val="14"/>
        </w:rPr>
        <w:t>M., (2012). Incidence of Dog Bite Injuries in American Samoa and Their Impact on Society., Hawaii Journal of Medicine and Public Health., 71(1):6-12</w:t>
      </w:r>
    </w:p>
  </w:footnote>
  <w:footnote w:id="6">
    <w:p w14:paraId="06E4F7CE"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L.K. Brennan Ramirez et </w:t>
      </w:r>
      <w:proofErr w:type="spellStart"/>
      <w:r w:rsidRPr="005C47D1">
        <w:rPr>
          <w:rFonts w:asciiTheme="minorHAnsi" w:hAnsiTheme="minorHAnsi"/>
          <w:sz w:val="14"/>
          <w:szCs w:val="14"/>
        </w:rPr>
        <w:t>al.</w:t>
      </w:r>
      <w:proofErr w:type="gramStart"/>
      <w:r w:rsidRPr="005C47D1">
        <w:rPr>
          <w:rFonts w:asciiTheme="minorHAnsi" w:hAnsiTheme="minorHAnsi"/>
          <w:sz w:val="14"/>
          <w:szCs w:val="14"/>
        </w:rPr>
        <w:t>,“</w:t>
      </w:r>
      <w:proofErr w:type="gramEnd"/>
      <w:r w:rsidRPr="005C47D1">
        <w:rPr>
          <w:rFonts w:asciiTheme="minorHAnsi" w:hAnsiTheme="minorHAnsi"/>
          <w:sz w:val="14"/>
          <w:szCs w:val="14"/>
        </w:rPr>
        <w:t>Indicators</w:t>
      </w:r>
      <w:proofErr w:type="spellEnd"/>
      <w:r w:rsidRPr="005C47D1">
        <w:rPr>
          <w:rFonts w:asciiTheme="minorHAnsi" w:hAnsiTheme="minorHAnsi"/>
          <w:sz w:val="14"/>
          <w:szCs w:val="14"/>
        </w:rPr>
        <w:t xml:space="preserve"> of Activity-Friendly Communities: An Evidence-Based Consensus Process,” </w:t>
      </w:r>
      <w:r w:rsidRPr="005C47D1">
        <w:rPr>
          <w:rFonts w:asciiTheme="minorHAnsi" w:hAnsiTheme="minorHAnsi"/>
          <w:i/>
          <w:iCs/>
          <w:sz w:val="14"/>
          <w:szCs w:val="14"/>
        </w:rPr>
        <w:t xml:space="preserve">American Journal of Preventive Medicine </w:t>
      </w:r>
      <w:r w:rsidRPr="005C47D1">
        <w:rPr>
          <w:rFonts w:asciiTheme="minorHAnsi" w:hAnsiTheme="minorHAnsi"/>
          <w:sz w:val="14"/>
          <w:szCs w:val="14"/>
        </w:rPr>
        <w:t xml:space="preserve">31 (2006): 515-524. </w:t>
      </w:r>
    </w:p>
  </w:footnote>
  <w:footnote w:id="7">
    <w:p w14:paraId="190343CC"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spellStart"/>
      <w:r w:rsidRPr="005C47D1">
        <w:rPr>
          <w:rFonts w:asciiTheme="minorHAnsi" w:hAnsiTheme="minorHAnsi"/>
          <w:sz w:val="14"/>
          <w:szCs w:val="14"/>
        </w:rPr>
        <w:t>RobertWood</w:t>
      </w:r>
      <w:proofErr w:type="spellEnd"/>
      <w:r w:rsidRPr="005C47D1">
        <w:rPr>
          <w:rFonts w:asciiTheme="minorHAnsi" w:hAnsiTheme="minorHAnsi"/>
          <w:sz w:val="14"/>
          <w:szCs w:val="14"/>
        </w:rPr>
        <w:t xml:space="preserve"> Johnson </w:t>
      </w:r>
      <w:proofErr w:type="spellStart"/>
      <w:r w:rsidRPr="005C47D1">
        <w:rPr>
          <w:rFonts w:asciiTheme="minorHAnsi" w:hAnsiTheme="minorHAnsi"/>
          <w:sz w:val="14"/>
          <w:szCs w:val="14"/>
        </w:rPr>
        <w:t>Foundation</w:t>
      </w:r>
      <w:proofErr w:type="gramStart"/>
      <w:r w:rsidRPr="005C47D1">
        <w:rPr>
          <w:rFonts w:asciiTheme="minorHAnsi" w:hAnsiTheme="minorHAnsi"/>
          <w:sz w:val="14"/>
          <w:szCs w:val="14"/>
        </w:rPr>
        <w:t>,“</w:t>
      </w:r>
      <w:proofErr w:type="gramEnd"/>
      <w:r w:rsidRPr="005C47D1">
        <w:rPr>
          <w:rFonts w:asciiTheme="minorHAnsi" w:hAnsiTheme="minorHAnsi"/>
          <w:sz w:val="14"/>
          <w:szCs w:val="14"/>
        </w:rPr>
        <w:t>The</w:t>
      </w:r>
      <w:proofErr w:type="spellEnd"/>
      <w:r w:rsidRPr="005C47D1">
        <w:rPr>
          <w:rFonts w:asciiTheme="minorHAnsi" w:hAnsiTheme="minorHAnsi"/>
          <w:sz w:val="14"/>
          <w:szCs w:val="14"/>
        </w:rPr>
        <w:t xml:space="preserve"> Synthesis Project. The Built Environment and Physical </w:t>
      </w:r>
      <w:proofErr w:type="spellStart"/>
      <w:r w:rsidRPr="005C47D1">
        <w:rPr>
          <w:rFonts w:asciiTheme="minorHAnsi" w:hAnsiTheme="minorHAnsi"/>
          <w:sz w:val="14"/>
          <w:szCs w:val="14"/>
        </w:rPr>
        <w:t>Activity</w:t>
      </w:r>
      <w:proofErr w:type="gramStart"/>
      <w:r w:rsidRPr="005C47D1">
        <w:rPr>
          <w:rFonts w:asciiTheme="minorHAnsi" w:hAnsiTheme="minorHAnsi"/>
          <w:sz w:val="14"/>
          <w:szCs w:val="14"/>
        </w:rPr>
        <w:t>:What</w:t>
      </w:r>
      <w:proofErr w:type="spellEnd"/>
      <w:proofErr w:type="gramEnd"/>
      <w:r w:rsidRPr="005C47D1">
        <w:rPr>
          <w:rFonts w:asciiTheme="minorHAnsi" w:hAnsiTheme="minorHAnsi"/>
          <w:sz w:val="14"/>
          <w:szCs w:val="14"/>
        </w:rPr>
        <w:t xml:space="preserve"> is the Relationship?” retrieved from http://www.rwjf.org/pr/ synthesis/</w:t>
      </w:r>
      <w:proofErr w:type="spellStart"/>
      <w:r w:rsidRPr="005C47D1">
        <w:rPr>
          <w:rFonts w:asciiTheme="minorHAnsi" w:hAnsiTheme="minorHAnsi"/>
          <w:sz w:val="14"/>
          <w:szCs w:val="14"/>
        </w:rPr>
        <w:t>reports_and_briefs</w:t>
      </w:r>
      <w:proofErr w:type="spellEnd"/>
      <w:r w:rsidRPr="005C47D1">
        <w:rPr>
          <w:rFonts w:asciiTheme="minorHAnsi" w:hAnsiTheme="minorHAnsi"/>
          <w:sz w:val="14"/>
          <w:szCs w:val="14"/>
        </w:rPr>
        <w:t xml:space="preserve">/pdf/no11_policybrief.pdf. </w:t>
      </w:r>
    </w:p>
  </w:footnote>
  <w:footnote w:id="8">
    <w:p w14:paraId="2D4CB829"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Active Living By </w:t>
      </w:r>
      <w:proofErr w:type="spellStart"/>
      <w:r w:rsidRPr="005C47D1">
        <w:rPr>
          <w:rFonts w:asciiTheme="minorHAnsi" w:hAnsiTheme="minorHAnsi"/>
          <w:sz w:val="14"/>
          <w:szCs w:val="14"/>
        </w:rPr>
        <w:t>Design</w:t>
      </w:r>
      <w:proofErr w:type="gramStart"/>
      <w:r w:rsidRPr="005C47D1">
        <w:rPr>
          <w:rFonts w:asciiTheme="minorHAnsi" w:hAnsiTheme="minorHAnsi"/>
          <w:sz w:val="14"/>
          <w:szCs w:val="14"/>
        </w:rPr>
        <w:t>,“</w:t>
      </w:r>
      <w:proofErr w:type="gramEnd"/>
      <w:r w:rsidRPr="005C47D1">
        <w:rPr>
          <w:rFonts w:asciiTheme="minorHAnsi" w:hAnsiTheme="minorHAnsi"/>
          <w:sz w:val="14"/>
          <w:szCs w:val="14"/>
        </w:rPr>
        <w:t>A</w:t>
      </w:r>
      <w:proofErr w:type="spellEnd"/>
      <w:r w:rsidRPr="005C47D1">
        <w:rPr>
          <w:rFonts w:asciiTheme="minorHAnsi" w:hAnsiTheme="minorHAnsi"/>
          <w:sz w:val="14"/>
          <w:szCs w:val="14"/>
        </w:rPr>
        <w:t xml:space="preserve"> New Public Health Paradigm: Promoting Health Through Community Design,” retrieved from http://www.activelivingbydesign.org/index.php?id=16. </w:t>
      </w:r>
    </w:p>
  </w:footnote>
  <w:footnote w:id="9">
    <w:p w14:paraId="7341C892"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B.E. </w:t>
      </w:r>
      <w:proofErr w:type="spellStart"/>
      <w:r w:rsidRPr="005C47D1">
        <w:rPr>
          <w:rFonts w:asciiTheme="minorHAnsi" w:hAnsiTheme="minorHAnsi"/>
          <w:sz w:val="14"/>
          <w:szCs w:val="14"/>
        </w:rPr>
        <w:t>Saelens</w:t>
      </w:r>
      <w:proofErr w:type="spellEnd"/>
      <w:r w:rsidRPr="005C47D1">
        <w:rPr>
          <w:rFonts w:asciiTheme="minorHAnsi" w:hAnsiTheme="minorHAnsi"/>
          <w:sz w:val="14"/>
          <w:szCs w:val="14"/>
        </w:rPr>
        <w:t xml:space="preserve"> et al., “Neighborhood Based Differences in Physical Activity: An Environment Scale Evaluation,” </w:t>
      </w:r>
      <w:r w:rsidRPr="005C47D1">
        <w:rPr>
          <w:rFonts w:asciiTheme="minorHAnsi" w:hAnsiTheme="minorHAnsi"/>
          <w:i/>
          <w:iCs/>
          <w:sz w:val="14"/>
          <w:szCs w:val="14"/>
        </w:rPr>
        <w:t xml:space="preserve">American Journal of Public Health </w:t>
      </w:r>
      <w:r w:rsidRPr="005C47D1">
        <w:rPr>
          <w:rFonts w:asciiTheme="minorHAnsi" w:hAnsiTheme="minorHAnsi"/>
          <w:sz w:val="14"/>
          <w:szCs w:val="14"/>
        </w:rPr>
        <w:t xml:space="preserve">93 (2003):1552-1558. </w:t>
      </w:r>
    </w:p>
  </w:footnote>
  <w:footnote w:id="10">
    <w:p w14:paraId="3DB87469" w14:textId="77777777" w:rsidR="001B294D" w:rsidRPr="00083CD9" w:rsidRDefault="001B294D">
      <w:pPr>
        <w:pStyle w:val="FootnoteText"/>
        <w:rPr>
          <w:sz w:val="16"/>
          <w:szCs w:val="16"/>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R.C. </w:t>
      </w:r>
      <w:proofErr w:type="spellStart"/>
      <w:r w:rsidRPr="005C47D1">
        <w:rPr>
          <w:rFonts w:asciiTheme="minorHAnsi" w:hAnsiTheme="minorHAnsi"/>
          <w:sz w:val="14"/>
          <w:szCs w:val="14"/>
        </w:rPr>
        <w:t>Brownson</w:t>
      </w:r>
      <w:proofErr w:type="spellEnd"/>
      <w:r w:rsidRPr="005C47D1">
        <w:rPr>
          <w:rFonts w:asciiTheme="minorHAnsi" w:hAnsiTheme="minorHAnsi"/>
          <w:sz w:val="14"/>
          <w:szCs w:val="14"/>
        </w:rPr>
        <w:t xml:space="preserve"> et al.</w:t>
      </w:r>
      <w:proofErr w:type="gramStart"/>
      <w:r w:rsidRPr="005C47D1">
        <w:rPr>
          <w:rFonts w:asciiTheme="minorHAnsi" w:hAnsiTheme="minorHAnsi"/>
          <w:sz w:val="14"/>
          <w:szCs w:val="14"/>
        </w:rPr>
        <w:t>, ”</w:t>
      </w:r>
      <w:proofErr w:type="gramEnd"/>
      <w:r w:rsidRPr="005C47D1">
        <w:rPr>
          <w:rFonts w:asciiTheme="minorHAnsi" w:hAnsiTheme="minorHAnsi"/>
          <w:sz w:val="14"/>
          <w:szCs w:val="14"/>
        </w:rPr>
        <w:t xml:space="preserve">Environmental and Policy Determinants of Physical Activity in the United States,” </w:t>
      </w:r>
      <w:r w:rsidRPr="005C47D1">
        <w:rPr>
          <w:rFonts w:asciiTheme="minorHAnsi" w:hAnsiTheme="minorHAnsi"/>
          <w:i/>
          <w:iCs/>
          <w:sz w:val="14"/>
          <w:szCs w:val="14"/>
        </w:rPr>
        <w:t>American Journal of Public Health</w:t>
      </w:r>
      <w:r w:rsidRPr="005C47D1">
        <w:rPr>
          <w:rFonts w:asciiTheme="minorHAnsi" w:hAnsiTheme="minorHAnsi"/>
          <w:sz w:val="14"/>
          <w:szCs w:val="14"/>
        </w:rPr>
        <w:t>. 91 (2001): 1995-2003.</w:t>
      </w:r>
    </w:p>
  </w:footnote>
  <w:footnote w:id="11">
    <w:p w14:paraId="6856C538" w14:textId="6D28C343" w:rsidR="001B294D" w:rsidRPr="005C47D1" w:rsidRDefault="001B294D">
      <w:pPr>
        <w:pStyle w:val="FootnoteText"/>
        <w:rPr>
          <w:rFonts w:asciiTheme="minorHAnsi" w:hAnsiTheme="minorHAnsi"/>
          <w:sz w:val="14"/>
          <w:szCs w:val="14"/>
        </w:rPr>
      </w:pPr>
    </w:p>
  </w:footnote>
  <w:footnote w:id="12">
    <w:p w14:paraId="63D8F6D1" w14:textId="456FA387" w:rsidR="001B294D" w:rsidRPr="005C47D1" w:rsidRDefault="001B294D" w:rsidP="005C47D1">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spellStart"/>
      <w:r w:rsidRPr="005C47D1">
        <w:rPr>
          <w:rFonts w:asciiTheme="minorHAnsi" w:hAnsiTheme="minorHAnsi"/>
          <w:sz w:val="14"/>
          <w:szCs w:val="14"/>
        </w:rPr>
        <w:t>Vargo</w:t>
      </w:r>
      <w:proofErr w:type="spellEnd"/>
      <w:r w:rsidRPr="005C47D1">
        <w:rPr>
          <w:rFonts w:asciiTheme="minorHAnsi" w:hAnsiTheme="minorHAnsi"/>
          <w:sz w:val="14"/>
          <w:szCs w:val="14"/>
        </w:rPr>
        <w:t xml:space="preserve"> D, </w:t>
      </w:r>
      <w:proofErr w:type="spellStart"/>
      <w:r w:rsidRPr="005C47D1">
        <w:rPr>
          <w:rFonts w:asciiTheme="minorHAnsi" w:hAnsiTheme="minorHAnsi"/>
          <w:sz w:val="14"/>
          <w:szCs w:val="14"/>
        </w:rPr>
        <w:t>DePasquale</w:t>
      </w:r>
      <w:proofErr w:type="spellEnd"/>
      <w:r w:rsidRPr="005C47D1">
        <w:rPr>
          <w:rFonts w:asciiTheme="minorHAnsi" w:hAnsiTheme="minorHAnsi"/>
          <w:sz w:val="14"/>
          <w:szCs w:val="14"/>
        </w:rPr>
        <w:t xml:space="preserve"> JM, </w:t>
      </w:r>
      <w:proofErr w:type="spellStart"/>
      <w:r w:rsidRPr="005C47D1">
        <w:rPr>
          <w:rFonts w:asciiTheme="minorHAnsi" w:hAnsiTheme="minorHAnsi"/>
          <w:sz w:val="14"/>
          <w:szCs w:val="14"/>
        </w:rPr>
        <w:t>Vargo</w:t>
      </w:r>
      <w:proofErr w:type="spellEnd"/>
      <w:r w:rsidRPr="005C47D1">
        <w:rPr>
          <w:rFonts w:asciiTheme="minorHAnsi" w:hAnsiTheme="minorHAnsi"/>
          <w:sz w:val="14"/>
          <w:szCs w:val="14"/>
        </w:rPr>
        <w:t xml:space="preserve"> </w:t>
      </w:r>
      <w:proofErr w:type="gramStart"/>
      <w:r w:rsidRPr="005C47D1">
        <w:rPr>
          <w:rFonts w:asciiTheme="minorHAnsi" w:hAnsiTheme="minorHAnsi"/>
          <w:sz w:val="14"/>
          <w:szCs w:val="14"/>
        </w:rPr>
        <w:t>AM</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Incidence of Dog Bite Injuries in American Samoa and Their Impact on Society.</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Hawai'i J Med Pub Health.</w:t>
      </w:r>
      <w:proofErr w:type="gramEnd"/>
      <w:r w:rsidRPr="005C47D1">
        <w:rPr>
          <w:rFonts w:asciiTheme="minorHAnsi" w:hAnsiTheme="minorHAnsi"/>
          <w:sz w:val="14"/>
          <w:szCs w:val="14"/>
        </w:rPr>
        <w:t xml:space="preserve"> 2012</w:t>
      </w:r>
      <w:proofErr w:type="gramStart"/>
      <w:r w:rsidRPr="005C47D1">
        <w:rPr>
          <w:rFonts w:asciiTheme="minorHAnsi" w:hAnsiTheme="minorHAnsi"/>
          <w:sz w:val="14"/>
          <w:szCs w:val="14"/>
        </w:rPr>
        <w:t>;71:6</w:t>
      </w:r>
      <w:proofErr w:type="gramEnd"/>
      <w:r w:rsidRPr="005C47D1">
        <w:rPr>
          <w:rFonts w:asciiTheme="minorHAnsi" w:hAnsiTheme="minorHAnsi"/>
          <w:sz w:val="14"/>
          <w:szCs w:val="14"/>
        </w:rPr>
        <w:t>–12. [</w:t>
      </w:r>
      <w:hyperlink r:id="rId1" w:history="1">
        <w:r w:rsidRPr="005C47D1">
          <w:rPr>
            <w:rStyle w:val="Hyperlink"/>
            <w:rFonts w:asciiTheme="minorHAnsi" w:hAnsiTheme="minorHAnsi"/>
            <w:sz w:val="14"/>
            <w:szCs w:val="14"/>
          </w:rPr>
          <w:t>PMC free article</w:t>
        </w:r>
      </w:hyperlink>
      <w:r w:rsidRPr="005C47D1">
        <w:rPr>
          <w:rFonts w:asciiTheme="minorHAnsi" w:hAnsiTheme="minorHAnsi"/>
          <w:sz w:val="14"/>
          <w:szCs w:val="14"/>
        </w:rPr>
        <w:t>] [PubMed]</w:t>
      </w:r>
    </w:p>
  </w:footnote>
  <w:footnote w:id="13">
    <w:p w14:paraId="610E60D4" w14:textId="77777777" w:rsidR="001E79FC" w:rsidRPr="005C47D1" w:rsidRDefault="001E79FC" w:rsidP="001E79FC">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sz w:val="14"/>
          <w:szCs w:val="14"/>
        </w:rPr>
        <w:t>"Model Joint Use Agreement Resources."</w:t>
      </w:r>
      <w:proofErr w:type="gramEnd"/>
      <w:r w:rsidRPr="005C47D1">
        <w:rPr>
          <w:rFonts w:asciiTheme="minorHAnsi" w:hAnsiTheme="minorHAnsi"/>
          <w:sz w:val="14"/>
          <w:szCs w:val="14"/>
        </w:rPr>
        <w:t xml:space="preserve"> </w:t>
      </w:r>
      <w:proofErr w:type="gramStart"/>
      <w:r w:rsidRPr="005C47D1">
        <w:rPr>
          <w:rFonts w:asciiTheme="minorHAnsi" w:hAnsiTheme="minorHAnsi"/>
          <w:i/>
          <w:iCs/>
          <w:sz w:val="14"/>
          <w:szCs w:val="14"/>
        </w:rPr>
        <w:t>Home</w:t>
      </w:r>
      <w:r w:rsidRPr="005C47D1">
        <w:rPr>
          <w:rFonts w:asciiTheme="minorHAnsi" w:hAnsiTheme="minorHAnsi"/>
          <w:sz w:val="14"/>
          <w:szCs w:val="14"/>
        </w:rPr>
        <w:t>.</w:t>
      </w:r>
      <w:proofErr w:type="gramEnd"/>
      <w:r w:rsidRPr="005C47D1">
        <w:rPr>
          <w:rFonts w:asciiTheme="minorHAnsi" w:hAnsiTheme="minorHAnsi"/>
          <w:sz w:val="14"/>
          <w:szCs w:val="14"/>
        </w:rPr>
        <w:t xml:space="preserve"> Change Lab Solutions, 2013. </w:t>
      </w:r>
      <w:proofErr w:type="gramStart"/>
      <w:r w:rsidRPr="005C47D1">
        <w:rPr>
          <w:rFonts w:asciiTheme="minorHAnsi" w:hAnsiTheme="minorHAnsi"/>
          <w:sz w:val="14"/>
          <w:szCs w:val="14"/>
        </w:rPr>
        <w:t>Web.</w:t>
      </w:r>
      <w:proofErr w:type="gramEnd"/>
      <w:r w:rsidRPr="005C47D1">
        <w:rPr>
          <w:rFonts w:asciiTheme="minorHAnsi" w:hAnsiTheme="minorHAnsi"/>
          <w:sz w:val="14"/>
          <w:szCs w:val="14"/>
        </w:rPr>
        <w:t xml:space="preserve"> 05 Jan. 2014.</w:t>
      </w:r>
    </w:p>
  </w:footnote>
  <w:footnote w:id="14">
    <w:p w14:paraId="3A4673FF" w14:textId="507FB99E"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spellStart"/>
      <w:r w:rsidRPr="005C47D1">
        <w:rPr>
          <w:rFonts w:asciiTheme="minorHAnsi" w:hAnsiTheme="minorHAnsi"/>
          <w:sz w:val="14"/>
          <w:szCs w:val="14"/>
        </w:rPr>
        <w:t>Wisch</w:t>
      </w:r>
      <w:proofErr w:type="spellEnd"/>
      <w:r w:rsidRPr="005C47D1">
        <w:rPr>
          <w:rFonts w:asciiTheme="minorHAnsi" w:hAnsiTheme="minorHAnsi"/>
          <w:sz w:val="14"/>
          <w:szCs w:val="14"/>
        </w:rPr>
        <w:t xml:space="preserve">, Rebecca. </w:t>
      </w:r>
      <w:proofErr w:type="gramStart"/>
      <w:r w:rsidRPr="005C47D1">
        <w:rPr>
          <w:rFonts w:asciiTheme="minorHAnsi" w:hAnsiTheme="minorHAnsi"/>
          <w:sz w:val="14"/>
          <w:szCs w:val="14"/>
        </w:rPr>
        <w:t>"Navigation."</w:t>
      </w:r>
      <w:proofErr w:type="gramEnd"/>
      <w:r w:rsidRPr="005C47D1">
        <w:rPr>
          <w:rFonts w:asciiTheme="minorHAnsi" w:hAnsiTheme="minorHAnsi"/>
          <w:sz w:val="14"/>
          <w:szCs w:val="14"/>
        </w:rPr>
        <w:t xml:space="preserve"> </w:t>
      </w:r>
      <w:proofErr w:type="gramStart"/>
      <w:r w:rsidRPr="005C47D1">
        <w:rPr>
          <w:rFonts w:asciiTheme="minorHAnsi" w:hAnsiTheme="minorHAnsi"/>
          <w:i/>
          <w:iCs/>
          <w:sz w:val="14"/>
          <w:szCs w:val="14"/>
        </w:rPr>
        <w:t>Table of Dog Leash Laws</w:t>
      </w:r>
      <w:r w:rsidRPr="005C47D1">
        <w:rPr>
          <w:rFonts w:asciiTheme="minorHAnsi" w:hAnsiTheme="minorHAnsi"/>
          <w:sz w:val="14"/>
          <w:szCs w:val="14"/>
        </w:rPr>
        <w:t>.</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Michigan State University College of Law, 2012.</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Web.</w:t>
      </w:r>
      <w:proofErr w:type="gramEnd"/>
      <w:r w:rsidRPr="005C47D1">
        <w:rPr>
          <w:rFonts w:asciiTheme="minorHAnsi" w:hAnsiTheme="minorHAnsi"/>
          <w:sz w:val="14"/>
          <w:szCs w:val="14"/>
        </w:rPr>
        <w:t xml:space="preserve"> 05 Jan. 2014.</w:t>
      </w:r>
    </w:p>
  </w:footnote>
  <w:footnote w:id="15">
    <w:p w14:paraId="2E8523CE" w14:textId="71542256"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sz w:val="14"/>
          <w:szCs w:val="14"/>
        </w:rPr>
        <w:t>Dog Law of 1919, State of Michigan Legislative Council § 287.262 (1919).</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Web.</w:t>
      </w:r>
      <w:proofErr w:type="gramEnd"/>
      <w:r w:rsidRPr="005C47D1">
        <w:rPr>
          <w:rFonts w:asciiTheme="minorHAnsi" w:hAnsiTheme="minorHAnsi"/>
          <w:sz w:val="14"/>
          <w:szCs w:val="14"/>
        </w:rPr>
        <w:t xml:space="preserve"> 05 Jan. 2014</w:t>
      </w:r>
    </w:p>
  </w:footnote>
  <w:footnote w:id="16">
    <w:p w14:paraId="521449E0" w14:textId="57614305" w:rsidR="001B294D" w:rsidRPr="00BD64A6" w:rsidRDefault="001B294D">
      <w:pPr>
        <w:pStyle w:val="FootnoteText"/>
        <w:rPr>
          <w:rFonts w:asciiTheme="minorHAnsi" w:hAnsiTheme="minorHAnsi"/>
          <w:sz w:val="14"/>
          <w:szCs w:val="14"/>
        </w:rPr>
      </w:pPr>
      <w:r w:rsidRPr="00BD64A6">
        <w:rPr>
          <w:rStyle w:val="FootnoteReference"/>
          <w:rFonts w:asciiTheme="minorHAnsi" w:hAnsiTheme="minorHAnsi"/>
          <w:sz w:val="14"/>
          <w:szCs w:val="14"/>
        </w:rPr>
        <w:footnoteRef/>
      </w:r>
      <w:r w:rsidRPr="00BD64A6">
        <w:rPr>
          <w:rFonts w:asciiTheme="minorHAnsi" w:hAnsiTheme="minorHAnsi"/>
          <w:sz w:val="14"/>
          <w:szCs w:val="14"/>
        </w:rPr>
        <w:t xml:space="preserve"> </w:t>
      </w:r>
      <w:proofErr w:type="gramStart"/>
      <w:r w:rsidRPr="00BD64A6">
        <w:rPr>
          <w:rFonts w:asciiTheme="minorHAnsi" w:hAnsiTheme="minorHAnsi"/>
          <w:sz w:val="14"/>
          <w:szCs w:val="14"/>
        </w:rPr>
        <w:t>Government Funding Sources."</w:t>
      </w:r>
      <w:proofErr w:type="gramEnd"/>
      <w:r w:rsidRPr="00BD64A6">
        <w:rPr>
          <w:rFonts w:asciiTheme="minorHAnsi" w:hAnsiTheme="minorHAnsi"/>
          <w:sz w:val="14"/>
          <w:szCs w:val="14"/>
        </w:rPr>
        <w:t xml:space="preserve"> </w:t>
      </w:r>
      <w:proofErr w:type="gramStart"/>
      <w:r w:rsidRPr="00BD64A6">
        <w:rPr>
          <w:rFonts w:asciiTheme="minorHAnsi" w:hAnsiTheme="minorHAnsi"/>
          <w:i/>
          <w:iCs/>
          <w:sz w:val="14"/>
          <w:szCs w:val="14"/>
        </w:rPr>
        <w:t>Home</w:t>
      </w:r>
      <w:r w:rsidRPr="00BD64A6">
        <w:rPr>
          <w:rFonts w:asciiTheme="minorHAnsi" w:hAnsiTheme="minorHAnsi"/>
          <w:sz w:val="14"/>
          <w:szCs w:val="14"/>
        </w:rPr>
        <w:t>.</w:t>
      </w:r>
      <w:proofErr w:type="gramEnd"/>
      <w:r w:rsidRPr="00BD64A6">
        <w:rPr>
          <w:rFonts w:asciiTheme="minorHAnsi" w:hAnsiTheme="minorHAnsi"/>
          <w:sz w:val="14"/>
          <w:szCs w:val="14"/>
        </w:rPr>
        <w:t xml:space="preserve"> </w:t>
      </w:r>
      <w:proofErr w:type="gramStart"/>
      <w:r w:rsidRPr="00BD64A6">
        <w:rPr>
          <w:rFonts w:asciiTheme="minorHAnsi" w:hAnsiTheme="minorHAnsi"/>
          <w:sz w:val="14"/>
          <w:szCs w:val="14"/>
        </w:rPr>
        <w:t>Walkinginfo.org 2013.</w:t>
      </w:r>
      <w:proofErr w:type="gramEnd"/>
      <w:r w:rsidRPr="00BD64A6">
        <w:rPr>
          <w:rFonts w:asciiTheme="minorHAnsi" w:hAnsiTheme="minorHAnsi"/>
          <w:sz w:val="14"/>
          <w:szCs w:val="14"/>
        </w:rPr>
        <w:t xml:space="preserve"> </w:t>
      </w:r>
      <w:proofErr w:type="gramStart"/>
      <w:r w:rsidRPr="00BD64A6">
        <w:rPr>
          <w:rFonts w:asciiTheme="minorHAnsi" w:hAnsiTheme="minorHAnsi"/>
          <w:sz w:val="14"/>
          <w:szCs w:val="14"/>
        </w:rPr>
        <w:t>Web.</w:t>
      </w:r>
      <w:proofErr w:type="gramEnd"/>
      <w:r w:rsidRPr="00BD64A6">
        <w:rPr>
          <w:rFonts w:asciiTheme="minorHAnsi" w:hAnsiTheme="minorHAnsi"/>
          <w:sz w:val="14"/>
          <w:szCs w:val="14"/>
        </w:rPr>
        <w:t xml:space="preserve"> 05 Jan. 2014.</w:t>
      </w:r>
    </w:p>
  </w:footnote>
  <w:footnote w:id="17">
    <w:p w14:paraId="46B7D5B4" w14:textId="10105E5B" w:rsidR="001B294D" w:rsidRPr="005C47D1" w:rsidRDefault="001B294D" w:rsidP="005C47D1">
      <w:pPr>
        <w:widowControl w:val="0"/>
        <w:autoSpaceDE w:val="0"/>
        <w:autoSpaceDN w:val="0"/>
        <w:adjustRightInd w:val="0"/>
        <w:spacing w:after="240" w:line="240" w:lineRule="auto"/>
        <w:rPr>
          <w:rFonts w:ascii="Times" w:eastAsia="Calibri" w:hAnsi="Times" w:cs="Times"/>
          <w:sz w:val="24"/>
          <w:szCs w:val="24"/>
          <w:lang w:bidi="ar-SA"/>
        </w:rPr>
      </w:pPr>
      <w:r w:rsidRPr="00BD64A6">
        <w:rPr>
          <w:rStyle w:val="FootnoteReference"/>
          <w:rFonts w:asciiTheme="minorHAnsi" w:hAnsiTheme="minorHAnsi"/>
          <w:sz w:val="14"/>
          <w:szCs w:val="14"/>
        </w:rPr>
        <w:footnoteRef/>
      </w:r>
      <w:r w:rsidRPr="00BD64A6">
        <w:rPr>
          <w:rFonts w:asciiTheme="minorHAnsi" w:hAnsiTheme="minorHAnsi"/>
          <w:sz w:val="14"/>
          <w:szCs w:val="14"/>
        </w:rPr>
        <w:t xml:space="preserve"> </w:t>
      </w:r>
      <w:r w:rsidR="00854995" w:rsidRPr="00BD64A6">
        <w:rPr>
          <w:rFonts w:asciiTheme="minorHAnsi" w:hAnsiTheme="minorHAnsi"/>
          <w:sz w:val="14"/>
          <w:szCs w:val="14"/>
        </w:rPr>
        <w:t>CSBA Policy Brief 2010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587048" w14:textId="44388D97" w:rsidR="001B294D" w:rsidRDefault="00687EE1">
    <w:pPr>
      <w:pStyle w:val="Header"/>
      <w:pBdr>
        <w:bottom w:val="thickThinSmallGap" w:sz="24" w:space="1" w:color="622423"/>
      </w:pBdr>
      <w:jc w:val="center"/>
      <w:rPr>
        <w:rFonts w:ascii="Cambria" w:hAnsi="Cambria"/>
        <w:sz w:val="32"/>
      </w:rPr>
    </w:pPr>
    <w:r>
      <w:rPr>
        <w:rFonts w:ascii="Cambria" w:hAnsi="Cambria"/>
        <w:sz w:val="32"/>
      </w:rPr>
      <w:t>Develop the Built Environment to Promote Physical Activity</w:t>
    </w:r>
    <w:r w:rsidR="001B294D">
      <w:rPr>
        <w:rFonts w:ascii="Cambria" w:hAnsi="Cambria"/>
        <w:sz w:val="32"/>
      </w:rPr>
      <w:t xml:space="preserve">                                                                                                  Fact Sheet &amp; Talking Points</w:t>
    </w:r>
  </w:p>
  <w:p w14:paraId="3FD83F9D" w14:textId="77777777" w:rsidR="001B294D" w:rsidRDefault="001B294D" w:rsidP="008F5B0F">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
    <w:nsid w:val="0A4C46CD"/>
    <w:multiLevelType w:val="hybridMultilevel"/>
    <w:tmpl w:val="EC78570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10B07040"/>
    <w:multiLevelType w:val="hybridMultilevel"/>
    <w:tmpl w:val="0882B19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4">
    <w:nsid w:val="12A86324"/>
    <w:multiLevelType w:val="hybridMultilevel"/>
    <w:tmpl w:val="89063FE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733280"/>
    <w:multiLevelType w:val="hybridMultilevel"/>
    <w:tmpl w:val="33024288"/>
    <w:lvl w:ilvl="0" w:tplc="1AD6EF0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7">
    <w:nsid w:val="178803E9"/>
    <w:multiLevelType w:val="hybridMultilevel"/>
    <w:tmpl w:val="A96869D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8">
    <w:nsid w:val="36063A17"/>
    <w:multiLevelType w:val="hybridMultilevel"/>
    <w:tmpl w:val="999C9EF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9">
    <w:nsid w:val="36A87FF2"/>
    <w:multiLevelType w:val="hybridMultilevel"/>
    <w:tmpl w:val="9C2CE36A"/>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0">
    <w:nsid w:val="39635521"/>
    <w:multiLevelType w:val="hybridMultilevel"/>
    <w:tmpl w:val="7226897A"/>
    <w:lvl w:ilvl="0" w:tplc="000F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1">
    <w:nsid w:val="461C5D84"/>
    <w:multiLevelType w:val="hybridMultilevel"/>
    <w:tmpl w:val="B8E8229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2">
    <w:nsid w:val="520D095B"/>
    <w:multiLevelType w:val="hybridMultilevel"/>
    <w:tmpl w:val="367C96A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3">
    <w:nsid w:val="53565087"/>
    <w:multiLevelType w:val="hybridMultilevel"/>
    <w:tmpl w:val="491652D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4">
    <w:nsid w:val="57C31752"/>
    <w:multiLevelType w:val="hybridMultilevel"/>
    <w:tmpl w:val="6DE2DB00"/>
    <w:lvl w:ilvl="0" w:tplc="EF6ABAFC">
      <w:start w:val="1"/>
      <w:numFmt w:val="decimal"/>
      <w:lvlText w:val="%1."/>
      <w:lvlJc w:val="left"/>
      <w:pPr>
        <w:ind w:left="720" w:hanging="360"/>
      </w:pPr>
      <w:rPr>
        <w:rFonts w:hint="default"/>
        <w:b/>
        <w:color w:val="auto"/>
        <w:u w:val="none"/>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5">
    <w:nsid w:val="5A9140E6"/>
    <w:multiLevelType w:val="hybridMultilevel"/>
    <w:tmpl w:val="87146A70"/>
    <w:lvl w:ilvl="0" w:tplc="000F0409">
      <w:start w:val="1"/>
      <w:numFmt w:val="decimal"/>
      <w:lvlText w:val="%1."/>
      <w:lvlJc w:val="left"/>
      <w:pPr>
        <w:ind w:left="360" w:hanging="360"/>
      </w:pPr>
      <w:rPr>
        <w:rFonts w:hint="default"/>
        <w:color w:val="auto"/>
        <w:u w:val="none"/>
      </w:rPr>
    </w:lvl>
    <w:lvl w:ilvl="1" w:tplc="00190409">
      <w:start w:val="1"/>
      <w:numFmt w:val="lowerLetter"/>
      <w:lvlText w:val="%2."/>
      <w:lvlJc w:val="left"/>
      <w:pPr>
        <w:ind w:left="1080" w:hanging="360"/>
      </w:pPr>
    </w:lvl>
    <w:lvl w:ilvl="2" w:tplc="001B0409" w:tentative="1">
      <w:start w:val="1"/>
      <w:numFmt w:val="lowerRoman"/>
      <w:lvlText w:val="%3."/>
      <w:lvlJc w:val="right"/>
      <w:pPr>
        <w:ind w:left="1800" w:hanging="180"/>
      </w:pPr>
    </w:lvl>
    <w:lvl w:ilvl="3" w:tplc="000F0409" w:tentative="1">
      <w:start w:val="1"/>
      <w:numFmt w:val="decimal"/>
      <w:lvlText w:val="%4."/>
      <w:lvlJc w:val="left"/>
      <w:pPr>
        <w:ind w:left="2520" w:hanging="360"/>
      </w:pPr>
    </w:lvl>
    <w:lvl w:ilvl="4" w:tplc="00190409" w:tentative="1">
      <w:start w:val="1"/>
      <w:numFmt w:val="lowerLetter"/>
      <w:lvlText w:val="%5."/>
      <w:lvlJc w:val="left"/>
      <w:pPr>
        <w:ind w:left="3240" w:hanging="360"/>
      </w:pPr>
    </w:lvl>
    <w:lvl w:ilvl="5" w:tplc="001B0409" w:tentative="1">
      <w:start w:val="1"/>
      <w:numFmt w:val="lowerRoman"/>
      <w:lvlText w:val="%6."/>
      <w:lvlJc w:val="right"/>
      <w:pPr>
        <w:ind w:left="3960" w:hanging="180"/>
      </w:pPr>
    </w:lvl>
    <w:lvl w:ilvl="6" w:tplc="000F0409" w:tentative="1">
      <w:start w:val="1"/>
      <w:numFmt w:val="decimal"/>
      <w:lvlText w:val="%7."/>
      <w:lvlJc w:val="left"/>
      <w:pPr>
        <w:ind w:left="4680" w:hanging="360"/>
      </w:pPr>
    </w:lvl>
    <w:lvl w:ilvl="7" w:tplc="00190409" w:tentative="1">
      <w:start w:val="1"/>
      <w:numFmt w:val="lowerLetter"/>
      <w:lvlText w:val="%8."/>
      <w:lvlJc w:val="left"/>
      <w:pPr>
        <w:ind w:left="5400" w:hanging="360"/>
      </w:pPr>
    </w:lvl>
    <w:lvl w:ilvl="8" w:tplc="001B0409" w:tentative="1">
      <w:start w:val="1"/>
      <w:numFmt w:val="lowerRoman"/>
      <w:lvlText w:val="%9."/>
      <w:lvlJc w:val="right"/>
      <w:pPr>
        <w:ind w:left="6120" w:hanging="180"/>
      </w:pPr>
    </w:lvl>
  </w:abstractNum>
  <w:abstractNum w:abstractNumId="16">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7">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0B0083C"/>
    <w:multiLevelType w:val="hybridMultilevel"/>
    <w:tmpl w:val="E014E95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9">
    <w:nsid w:val="62E95BAA"/>
    <w:multiLevelType w:val="hybridMultilevel"/>
    <w:tmpl w:val="9CD06AF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20">
    <w:nsid w:val="6F7C373E"/>
    <w:multiLevelType w:val="hybridMultilevel"/>
    <w:tmpl w:val="EF9E0D44"/>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nsid w:val="78F112D6"/>
    <w:multiLevelType w:val="hybridMultilevel"/>
    <w:tmpl w:val="A5DC6B6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22">
    <w:nsid w:val="7DA56AED"/>
    <w:multiLevelType w:val="hybridMultilevel"/>
    <w:tmpl w:val="8FA66936"/>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3">
    <w:nsid w:val="7E765568"/>
    <w:multiLevelType w:val="hybridMultilevel"/>
    <w:tmpl w:val="8CB0D37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abstractNumId w:val="19"/>
  </w:num>
  <w:num w:numId="2">
    <w:abstractNumId w:val="21"/>
  </w:num>
  <w:num w:numId="3">
    <w:abstractNumId w:val="8"/>
  </w:num>
  <w:num w:numId="4">
    <w:abstractNumId w:val="3"/>
  </w:num>
  <w:num w:numId="5">
    <w:abstractNumId w:val="7"/>
  </w:num>
  <w:num w:numId="6">
    <w:abstractNumId w:val="18"/>
  </w:num>
  <w:num w:numId="7">
    <w:abstractNumId w:val="17"/>
  </w:num>
  <w:num w:numId="8">
    <w:abstractNumId w:val="13"/>
  </w:num>
  <w:num w:numId="9">
    <w:abstractNumId w:val="22"/>
  </w:num>
  <w:num w:numId="10">
    <w:abstractNumId w:val="1"/>
  </w:num>
  <w:num w:numId="11">
    <w:abstractNumId w:val="11"/>
  </w:num>
  <w:num w:numId="12">
    <w:abstractNumId w:val="23"/>
  </w:num>
  <w:num w:numId="13">
    <w:abstractNumId w:val="6"/>
  </w:num>
  <w:num w:numId="14">
    <w:abstractNumId w:val="10"/>
  </w:num>
  <w:num w:numId="15">
    <w:abstractNumId w:val="14"/>
  </w:num>
  <w:num w:numId="16">
    <w:abstractNumId w:val="15"/>
  </w:num>
  <w:num w:numId="17">
    <w:abstractNumId w:val="16"/>
  </w:num>
  <w:num w:numId="18">
    <w:abstractNumId w:val="2"/>
  </w:num>
  <w:num w:numId="19">
    <w:abstractNumId w:val="9"/>
  </w:num>
  <w:num w:numId="20">
    <w:abstractNumId w:val="12"/>
  </w:num>
  <w:num w:numId="21">
    <w:abstractNumId w:val="0"/>
  </w:num>
  <w:num w:numId="22">
    <w:abstractNumId w:val="4"/>
  </w:num>
  <w:num w:numId="23">
    <w:abstractNumId w:val="20"/>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037D8"/>
    <w:rsid w:val="00016C60"/>
    <w:rsid w:val="00082A52"/>
    <w:rsid w:val="00083CD9"/>
    <w:rsid w:val="00093534"/>
    <w:rsid w:val="000F2AF6"/>
    <w:rsid w:val="00117EBA"/>
    <w:rsid w:val="001B294D"/>
    <w:rsid w:val="001E79FC"/>
    <w:rsid w:val="001F606B"/>
    <w:rsid w:val="0027651A"/>
    <w:rsid w:val="002978FA"/>
    <w:rsid w:val="002B22F1"/>
    <w:rsid w:val="002F7111"/>
    <w:rsid w:val="002F75DF"/>
    <w:rsid w:val="00302F1C"/>
    <w:rsid w:val="00331DA6"/>
    <w:rsid w:val="00394CFA"/>
    <w:rsid w:val="003A519C"/>
    <w:rsid w:val="003D1952"/>
    <w:rsid w:val="004440EA"/>
    <w:rsid w:val="004554FF"/>
    <w:rsid w:val="004D3270"/>
    <w:rsid w:val="00541902"/>
    <w:rsid w:val="0059028E"/>
    <w:rsid w:val="00593636"/>
    <w:rsid w:val="00595687"/>
    <w:rsid w:val="005B3A1B"/>
    <w:rsid w:val="005C47D1"/>
    <w:rsid w:val="005E4A2A"/>
    <w:rsid w:val="00664366"/>
    <w:rsid w:val="00667FE3"/>
    <w:rsid w:val="00687EE1"/>
    <w:rsid w:val="007A5850"/>
    <w:rsid w:val="008437B8"/>
    <w:rsid w:val="008501B3"/>
    <w:rsid w:val="00854995"/>
    <w:rsid w:val="008C24C6"/>
    <w:rsid w:val="008F5B0F"/>
    <w:rsid w:val="00947E01"/>
    <w:rsid w:val="009515E8"/>
    <w:rsid w:val="00960E64"/>
    <w:rsid w:val="00A03E18"/>
    <w:rsid w:val="00A72A93"/>
    <w:rsid w:val="00A87731"/>
    <w:rsid w:val="00B61A2F"/>
    <w:rsid w:val="00BD64A6"/>
    <w:rsid w:val="00C2101B"/>
    <w:rsid w:val="00C3600D"/>
    <w:rsid w:val="00C807C2"/>
    <w:rsid w:val="00C93FC0"/>
    <w:rsid w:val="00CB6631"/>
    <w:rsid w:val="00CD268E"/>
    <w:rsid w:val="00CD679E"/>
    <w:rsid w:val="00CD7316"/>
    <w:rsid w:val="00D83668"/>
    <w:rsid w:val="00DB07AB"/>
    <w:rsid w:val="00DC39B3"/>
    <w:rsid w:val="00E12404"/>
    <w:rsid w:val="00EB757D"/>
    <w:rsid w:val="00FB0D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17C890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 w:type="paragraph" w:styleId="EndnoteText">
    <w:name w:val="endnote text"/>
    <w:basedOn w:val="Normal"/>
    <w:link w:val="EndnoteTextChar"/>
    <w:uiPriority w:val="99"/>
    <w:semiHidden/>
    <w:unhideWhenUsed/>
    <w:rsid w:val="00CD7316"/>
    <w:rPr>
      <w:sz w:val="24"/>
      <w:szCs w:val="24"/>
    </w:rPr>
  </w:style>
  <w:style w:type="character" w:customStyle="1" w:styleId="EndnoteTextChar">
    <w:name w:val="Endnote Text Char"/>
    <w:basedOn w:val="DefaultParagraphFont"/>
    <w:link w:val="EndnoteText"/>
    <w:uiPriority w:val="99"/>
    <w:semiHidden/>
    <w:rsid w:val="00CD7316"/>
    <w:rPr>
      <w:rFonts w:eastAsia="Times New Roman"/>
      <w:sz w:val="24"/>
      <w:szCs w:val="24"/>
      <w:lang w:bidi="en-US"/>
    </w:rPr>
  </w:style>
  <w:style w:type="character" w:styleId="EndnoteReference">
    <w:name w:val="endnote reference"/>
    <w:basedOn w:val="DefaultParagraphFont"/>
    <w:uiPriority w:val="99"/>
    <w:semiHidden/>
    <w:unhideWhenUsed/>
    <w:rsid w:val="00CD731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 w:type="paragraph" w:styleId="EndnoteText">
    <w:name w:val="endnote text"/>
    <w:basedOn w:val="Normal"/>
    <w:link w:val="EndnoteTextChar"/>
    <w:uiPriority w:val="99"/>
    <w:semiHidden/>
    <w:unhideWhenUsed/>
    <w:rsid w:val="00CD7316"/>
    <w:rPr>
      <w:sz w:val="24"/>
      <w:szCs w:val="24"/>
    </w:rPr>
  </w:style>
  <w:style w:type="character" w:customStyle="1" w:styleId="EndnoteTextChar">
    <w:name w:val="Endnote Text Char"/>
    <w:basedOn w:val="DefaultParagraphFont"/>
    <w:link w:val="EndnoteText"/>
    <w:uiPriority w:val="99"/>
    <w:semiHidden/>
    <w:rsid w:val="00CD7316"/>
    <w:rPr>
      <w:rFonts w:eastAsia="Times New Roman"/>
      <w:sz w:val="24"/>
      <w:szCs w:val="24"/>
      <w:lang w:bidi="en-US"/>
    </w:rPr>
  </w:style>
  <w:style w:type="character" w:styleId="EndnoteReference">
    <w:name w:val="endnote reference"/>
    <w:basedOn w:val="DefaultParagraphFont"/>
    <w:uiPriority w:val="99"/>
    <w:semiHidden/>
    <w:unhideWhenUsed/>
    <w:rsid w:val="00CD731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alkinginfo.org/develop/policies.cf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walkinginfo.org/funding/sources-government.cf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nimallaw.info/articles/State%20Tables/tbusdogleash.htm" TargetMode="External"/><Relationship Id="rId5" Type="http://schemas.openxmlformats.org/officeDocument/2006/relationships/settings" Target="settings.xml"/><Relationship Id="rId15" Type="http://schemas.openxmlformats.org/officeDocument/2006/relationships/hyperlink" Target="mailto:adrian.bauman@sydney.edu.au" TargetMode="External"/><Relationship Id="rId10" Type="http://schemas.openxmlformats.org/officeDocument/2006/relationships/hyperlink" Target="http://www.legislature.mi.gov/(S(hrbw3tnkbhjlwj2q3hczypba))/mileg.aspx?page=GetObject&amp;objectname=mcl-act-339-of-1919"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changelabsolutions.org/publications/model-JUAs-national" TargetMode="External"/><Relationship Id="rId14" Type="http://schemas.openxmlformats.org/officeDocument/2006/relationships/hyperlink" Target="http://www.csba.org/GovernanceAndPolicyResources/DistrictPolicyServices/~/media/CSBA/Files/GovernanceResources/PolicyNews_Briefs/StudentHealth/PhysEd_Actviity/2010_02_PolicyBrief_MaximizingOppsForPhysicalActivity_JointUse.ash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ncbi.nlm.nih.gov/pmc/articles/PMC32984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B30FCE-C4DE-4C85-8F2D-0E1C7937D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1791</Words>
  <Characters>10210</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11978</CharactersWithSpaces>
  <SharedDoc>false</SharedDoc>
  <HLinks>
    <vt:vector size="36" baseType="variant">
      <vt:variant>
        <vt:i4>2424853</vt:i4>
      </vt:variant>
      <vt:variant>
        <vt:i4>15</vt:i4>
      </vt:variant>
      <vt:variant>
        <vt:i4>0</vt:i4>
      </vt:variant>
      <vt:variant>
        <vt:i4>5</vt:i4>
      </vt:variant>
      <vt:variant>
        <vt:lpwstr>http://www.islandfood.org</vt:lpwstr>
      </vt:variant>
      <vt:variant>
        <vt:lpwstr/>
      </vt:variant>
      <vt:variant>
        <vt:i4>7667800</vt:i4>
      </vt:variant>
      <vt:variant>
        <vt:i4>12</vt:i4>
      </vt:variant>
      <vt:variant>
        <vt:i4>0</vt:i4>
      </vt:variant>
      <vt:variant>
        <vt:i4>5</vt:i4>
      </vt:variant>
      <vt:variant>
        <vt:lpwstr>mailto:info@islandfood.org</vt:lpwstr>
      </vt:variant>
      <vt:variant>
        <vt:lpwstr/>
      </vt:variant>
      <vt:variant>
        <vt:i4>63</vt:i4>
      </vt:variant>
      <vt:variant>
        <vt:i4>9</vt:i4>
      </vt:variant>
      <vt:variant>
        <vt:i4>0</vt:i4>
      </vt:variant>
      <vt:variant>
        <vt:i4>5</vt:i4>
      </vt:variant>
      <vt:variant>
        <vt:lpwstr>mailto:adrian.bauman@sydney.edu.au</vt:lpwstr>
      </vt:variant>
      <vt:variant>
        <vt:lpwstr/>
      </vt:variant>
      <vt:variant>
        <vt:i4>5570650</vt:i4>
      </vt:variant>
      <vt:variant>
        <vt:i4>6</vt:i4>
      </vt:variant>
      <vt:variant>
        <vt:i4>0</vt:i4>
      </vt:variant>
      <vt:variant>
        <vt:i4>5</vt:i4>
      </vt:variant>
      <vt:variant>
        <vt:lpwstr>http://www.minneapolismn.gov/sustainability/homegrown/dhfs_homegrown-home</vt:lpwstr>
      </vt:variant>
      <vt:variant>
        <vt:lpwstr/>
      </vt:variant>
      <vt:variant>
        <vt:i4>63</vt:i4>
      </vt:variant>
      <vt:variant>
        <vt:i4>3</vt:i4>
      </vt:variant>
      <vt:variant>
        <vt:i4>0</vt:i4>
      </vt:variant>
      <vt:variant>
        <vt:i4>5</vt:i4>
      </vt:variant>
      <vt:variant>
        <vt:lpwstr>mailto:adrian.bauman@sydney.edu.au</vt:lpwstr>
      </vt:variant>
      <vt:variant>
        <vt:lpwstr/>
      </vt:variant>
      <vt:variant>
        <vt:i4>1245273</vt:i4>
      </vt:variant>
      <vt:variant>
        <vt:i4>0</vt:i4>
      </vt:variant>
      <vt:variant>
        <vt:i4>0</vt:i4>
      </vt:variant>
      <vt:variant>
        <vt:i4>5</vt:i4>
      </vt:variant>
      <vt:variant>
        <vt:lpwstr>http://farmtotablenm.org/wp-content/uploads/2013/02/Local-Food-procurement-SB0063-010411.pdf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3</cp:revision>
  <dcterms:created xsi:type="dcterms:W3CDTF">2014-01-10T00:20:00Z</dcterms:created>
  <dcterms:modified xsi:type="dcterms:W3CDTF">2014-01-10T23:26:00Z</dcterms:modified>
</cp:coreProperties>
</file>