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6A6" w:rsidRDefault="00BB46A6" w:rsidP="00BB46A6">
      <w:pPr>
        <w:spacing w:after="0" w:line="240" w:lineRule="auto"/>
        <w:rPr>
          <w:rFonts w:cs="êêÙøœÒ‹"/>
          <w:b/>
          <w:color w:val="333333"/>
        </w:rPr>
      </w:pPr>
    </w:p>
    <w:p w:rsidR="003A1518" w:rsidRDefault="003A1518" w:rsidP="003A1518">
      <w:pPr>
        <w:spacing w:after="0" w:line="240" w:lineRule="auto"/>
        <w:rPr>
          <w:rFonts w:ascii="Calibri" w:hAnsi="Calibri" w:cs="Calibri"/>
        </w:rPr>
      </w:pPr>
      <w:r>
        <w:rPr>
          <w:rFonts w:ascii="Calibri" w:hAnsi="Calibri" w:cs="Calibri"/>
          <w:b/>
        </w:rPr>
        <w:t>Assessing Tobacco Point-of-Sale Advertising in Guam</w:t>
      </w:r>
      <w:r w:rsidRPr="00F46B22">
        <w:rPr>
          <w:rFonts w:ascii="Calibri" w:hAnsi="Calibri" w:cs="Calibri"/>
          <w:b/>
        </w:rPr>
        <w:t xml:space="preserve"> </w:t>
      </w:r>
      <w:r w:rsidRPr="00F46B22">
        <w:rPr>
          <w:rFonts w:ascii="Calibri" w:hAnsi="Calibri" w:cs="Calibri"/>
        </w:rPr>
        <w:t xml:space="preserve">by </w:t>
      </w:r>
      <w:r>
        <w:rPr>
          <w:rFonts w:ascii="Calibri" w:hAnsi="Calibri" w:cs="Calibri"/>
        </w:rPr>
        <w:t xml:space="preserve">University of Guam U54 Pilot Project 1 (Community Outreach). </w:t>
      </w:r>
      <w:proofErr w:type="gramStart"/>
      <w:r>
        <w:rPr>
          <w:rFonts w:ascii="Calibri" w:hAnsi="Calibri" w:cs="Calibri"/>
        </w:rPr>
        <w:t>Published in May 2013</w:t>
      </w:r>
      <w:r w:rsidRPr="00F46B22">
        <w:rPr>
          <w:rFonts w:ascii="Calibri" w:hAnsi="Calibri" w:cs="Calibri"/>
        </w:rPr>
        <w:t>.</w:t>
      </w:r>
      <w:proofErr w:type="gramEnd"/>
      <w:r w:rsidRPr="00F46B22">
        <w:rPr>
          <w:rFonts w:ascii="Calibri" w:hAnsi="Calibri" w:cs="Calibri"/>
        </w:rPr>
        <w:t xml:space="preserve">  </w:t>
      </w:r>
    </w:p>
    <w:p w:rsidR="003A1518" w:rsidRDefault="003A1518" w:rsidP="003A1518">
      <w:pPr>
        <w:pStyle w:val="NoSpacing"/>
        <w:rPr>
          <w:rStyle w:val="Hyperlink"/>
          <w:rFonts w:cs="Calibri"/>
        </w:rPr>
      </w:pPr>
      <w:hyperlink r:id="rId7" w:history="1">
        <w:r w:rsidRPr="0094549F">
          <w:rPr>
            <w:rStyle w:val="Hyperlink"/>
            <w:rFonts w:cs="Calibri"/>
          </w:rPr>
          <w:t>http://www.guamcancerresearch.org/Runtime/uploads/PSCApril2013/day1/Pilot_Program_I_Outreach.pdf</w:t>
        </w:r>
      </w:hyperlink>
    </w:p>
    <w:p w:rsidR="003A1518" w:rsidRPr="00F46B22" w:rsidRDefault="003A1518" w:rsidP="003A1518">
      <w:pPr>
        <w:pStyle w:val="NoSpacing"/>
        <w:rPr>
          <w:rFonts w:cs="Calibri"/>
        </w:rPr>
      </w:pPr>
      <w:r>
        <w:rPr>
          <w:rFonts w:cs="Calibri"/>
          <w:noProof/>
        </w:rPr>
        <mc:AlternateContent>
          <mc:Choice Requires="wps">
            <w:drawing>
              <wp:anchor distT="0" distB="0" distL="114300" distR="114300" simplePos="0" relativeHeight="251672576" behindDoc="1" locked="0" layoutInCell="1" allowOverlap="1" wp14:anchorId="2D15C0BC" wp14:editId="368FB7E7">
                <wp:simplePos x="0" y="0"/>
                <wp:positionH relativeFrom="column">
                  <wp:posOffset>0</wp:posOffset>
                </wp:positionH>
                <wp:positionV relativeFrom="paragraph">
                  <wp:posOffset>43180</wp:posOffset>
                </wp:positionV>
                <wp:extent cx="6172200" cy="2653030"/>
                <wp:effectExtent l="0" t="0" r="25400" b="13970"/>
                <wp:wrapNone/>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653030"/>
                        </a:xfrm>
                        <a:prstGeom prst="rect">
                          <a:avLst/>
                        </a:prstGeom>
                        <a:solidFill>
                          <a:srgbClr val="FFFFFF"/>
                        </a:solidFill>
                        <a:ln w="9525">
                          <a:solidFill>
                            <a:srgbClr val="000000"/>
                          </a:solidFill>
                          <a:miter lim="800000"/>
                          <a:headEnd/>
                          <a:tailEnd/>
                        </a:ln>
                      </wps:spPr>
                      <wps:txbx>
                        <w:txbxContent>
                          <w:p w:rsidR="003A1518" w:rsidRPr="002F0881" w:rsidRDefault="003A1518" w:rsidP="003A1518">
                            <w:pPr>
                              <w:pStyle w:val="NoSpacing"/>
                              <w:ind w:left="360"/>
                            </w:pPr>
                          </w:p>
                          <w:p w:rsidR="003A1518" w:rsidRDefault="003A1518" w:rsidP="003A1518">
                            <w:pPr>
                              <w:ind w:left="5760" w:firstLine="720"/>
                            </w:pPr>
                            <w:r>
                              <w:rPr>
                                <w:noProof/>
                              </w:rPr>
                              <w:drawing>
                                <wp:inline distT="0" distB="0" distL="0" distR="0" wp14:anchorId="49C09ADF" wp14:editId="7D022756">
                                  <wp:extent cx="1753395" cy="1292382"/>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3-11-24 at 3.56.36 PM.png"/>
                                          <pic:cNvPicPr/>
                                        </pic:nvPicPr>
                                        <pic:blipFill>
                                          <a:blip r:embed="rId8">
                                            <a:extLst>
                                              <a:ext uri="{28A0092B-C50C-407E-A947-70E740481C1C}">
                                                <a14:useLocalDpi xmlns:a14="http://schemas.microsoft.com/office/drawing/2010/main" val="0"/>
                                              </a:ext>
                                            </a:extLst>
                                          </a:blip>
                                          <a:stretch>
                                            <a:fillRect/>
                                          </a:stretch>
                                        </pic:blipFill>
                                        <pic:spPr>
                                          <a:xfrm>
                                            <a:off x="0" y="0"/>
                                            <a:ext cx="1754322" cy="129306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3.4pt;width:486pt;height:208.9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">
                <v:textbox>
                  <w:txbxContent>
                    <w:p w:rsidR="003A1518" w:rsidRPr="002F0881" w:rsidRDefault="003A1518" w:rsidP="003A1518">
                      <w:pPr>
                        <w:pStyle w:val="NoSpacing"/>
                        <w:ind w:left="360"/>
                      </w:pPr>
                    </w:p>
                    <w:p w:rsidR="003A1518" w:rsidRDefault="003A1518" w:rsidP="003A1518">
                      <w:pPr>
                        <w:ind w:left="5760" w:firstLine="720"/>
                      </w:pPr>
                      <w:r>
                        <w:rPr>
                          <w:noProof/>
                        </w:rPr>
                        <w:drawing>
                          <wp:inline distT="0" distB="0" distL="0" distR="0" wp14:anchorId="49C09ADF" wp14:editId="7D022756">
                            <wp:extent cx="1753395" cy="1292382"/>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3-11-24 at 3.56.36 PM.png"/>
                                    <pic:cNvPicPr/>
                                  </pic:nvPicPr>
                                  <pic:blipFill>
                                    <a:blip r:embed="rId8">
                                      <a:extLst>
                                        <a:ext uri="{28A0092B-C50C-407E-A947-70E740481C1C}">
                                          <a14:useLocalDpi xmlns:a14="http://schemas.microsoft.com/office/drawing/2010/main" val="0"/>
                                        </a:ext>
                                      </a:extLst>
                                    </a:blip>
                                    <a:stretch>
                                      <a:fillRect/>
                                    </a:stretch>
                                  </pic:blipFill>
                                  <pic:spPr>
                                    <a:xfrm>
                                      <a:off x="0" y="0"/>
                                      <a:ext cx="1754322" cy="1293065"/>
                                    </a:xfrm>
                                    <a:prstGeom prst="rect">
                                      <a:avLst/>
                                    </a:prstGeom>
                                  </pic:spPr>
                                </pic:pic>
                              </a:graphicData>
                            </a:graphic>
                          </wp:inline>
                        </w:drawing>
                      </w:r>
                    </w:p>
                  </w:txbxContent>
                </v:textbox>
              </v:shape>
            </w:pict>
          </mc:Fallback>
        </mc:AlternateContent>
      </w:r>
      <w:r>
        <w:rPr>
          <w:rFonts w:cs="Calibri"/>
          <w:noProof/>
          <w:sz w:val="28"/>
          <w:szCs w:val="28"/>
        </w:rPr>
        <mc:AlternateContent>
          <mc:Choice Requires="wps">
            <w:drawing>
              <wp:anchor distT="0" distB="0" distL="114300" distR="114300" simplePos="0" relativeHeight="251673600" behindDoc="0" locked="0" layoutInCell="1" allowOverlap="1" wp14:anchorId="428ED6F5" wp14:editId="7CD95E20">
                <wp:simplePos x="0" y="0"/>
                <wp:positionH relativeFrom="column">
                  <wp:posOffset>114300</wp:posOffset>
                </wp:positionH>
                <wp:positionV relativeFrom="paragraph">
                  <wp:posOffset>157480</wp:posOffset>
                </wp:positionV>
                <wp:extent cx="3652520" cy="2424430"/>
                <wp:effectExtent l="0" t="0" r="30480" b="13970"/>
                <wp:wrapNone/>
                <wp:docPr id="28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2520" cy="2424430"/>
                        </a:xfrm>
                        <a:prstGeom prst="rect">
                          <a:avLst/>
                        </a:prstGeom>
                        <a:solidFill>
                          <a:srgbClr val="FFFFFF"/>
                        </a:solidFill>
                        <a:ln w="9525">
                          <a:solidFill>
                            <a:srgbClr val="000000"/>
                          </a:solidFill>
                          <a:miter lim="800000"/>
                          <a:headEnd/>
                          <a:tailEnd/>
                        </a:ln>
                      </wps:spPr>
                      <wps:txbx>
                        <w:txbxContent>
                          <w:p w:rsidR="003A1518" w:rsidRDefault="003A1518" w:rsidP="003A1518">
                            <w:pPr>
                              <w:pStyle w:val="NoSpacing"/>
                              <w:rPr>
                                <w:rFonts w:cs="Arial"/>
                              </w:rPr>
                            </w:pPr>
                            <w:r w:rsidRPr="000D669D">
                              <w:rPr>
                                <w:rFonts w:cs="Arial"/>
                                <w:i/>
                              </w:rPr>
                              <w:t>Summary:</w:t>
                            </w:r>
                            <w:r w:rsidRPr="00C829B0">
                              <w:rPr>
                                <w:rFonts w:cs="Arial"/>
                              </w:rPr>
                              <w:t xml:space="preserve"> PowerPoint presentation outlines a research project designed to determine whether higher exposure to tobacco point-of-sale advertising can partly explain the higher rate of tobacco use among Chamorro and other Micronesian youth in Guam. Youth trained in community-based participatory research surveyed a randomized sample of 198 of the 337 (59%) of the tobacco retailers in Guam. A summary of results pointed to the communities where tobacco ads were found, and highlighted the prevalence of betel nut sold in the stores (over 50% of the stores). They concluded from their findings that point-of-sale tobacco advertising may contribute to the disparities in tobacco use amongst youth in Guam.</w:t>
                            </w:r>
                            <w:r>
                              <w:rPr>
                                <w:rFonts w:cs="Arial"/>
                              </w:rPr>
                              <w:t xml:space="preserve"> </w:t>
                            </w:r>
                          </w:p>
                          <w:p w:rsidR="003A1518" w:rsidRPr="009A1D03" w:rsidRDefault="003A1518" w:rsidP="003A1518">
                            <w:pPr>
                              <w:pStyle w:val="NoSpacing"/>
                              <w:rPr>
                                <w:rFonts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9pt;margin-top:12.4pt;width:287.6pt;height:190.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">
                <v:textbox>
                  <w:txbxContent>
                    <w:p w:rsidR="003A1518" w:rsidRDefault="003A1518" w:rsidP="003A1518">
                      <w:pPr>
                        <w:pStyle w:val="NoSpacing"/>
                        <w:rPr>
                          <w:rFonts w:cs="Arial"/>
                        </w:rPr>
                      </w:pPr>
                      <w:r w:rsidRPr="000D669D">
                        <w:rPr>
                          <w:rFonts w:cs="Arial"/>
                          <w:i/>
                        </w:rPr>
                        <w:t>Summary:</w:t>
                      </w:r>
                      <w:r w:rsidRPr="00C829B0">
                        <w:rPr>
                          <w:rFonts w:cs="Arial"/>
                        </w:rPr>
                        <w:t xml:space="preserve"> PowerPoint presentation outlines a research project designed to determine whether higher exposure to tobacco point-of-sale advertising can partly explain the higher rate of tobacco use among Chamorro and other Micronesian youth in Guam. Youth trained in community-based participatory research surveyed a randomized sample of 198 of the 337 (59%) of the tobacco retailers in Guam. A summary of results pointed to the communities where tobacco ads were found, and highlighted the prevalence of betel nut sold in the stores (over 50% of the stores). They concluded from their findings that point-of-sale tobacco advertising may contribute to the disparities in tobacco use amongst youth in Guam.</w:t>
                      </w:r>
                      <w:r>
                        <w:rPr>
                          <w:rFonts w:cs="Arial"/>
                        </w:rPr>
                        <w:t xml:space="preserve"> </w:t>
                      </w:r>
                    </w:p>
                    <w:p w:rsidR="003A1518" w:rsidRPr="009A1D03" w:rsidRDefault="003A1518" w:rsidP="003A1518">
                      <w:pPr>
                        <w:pStyle w:val="NoSpacing"/>
                        <w:rPr>
                          <w:rFonts w:cs="Arial"/>
                        </w:rPr>
                      </w:pPr>
                    </w:p>
                  </w:txbxContent>
                </v:textbox>
              </v:shape>
            </w:pict>
          </mc:Fallback>
        </mc:AlternateContent>
      </w:r>
    </w:p>
    <w:p w:rsidR="003A1518" w:rsidRDefault="003A1518" w:rsidP="003A1518">
      <w:pPr>
        <w:spacing w:after="0" w:line="240" w:lineRule="auto"/>
        <w:rPr>
          <w:rFonts w:ascii="Calibri" w:hAnsi="Calibri" w:cs="Calibri"/>
          <w:b/>
        </w:rPr>
      </w:pPr>
    </w:p>
    <w:p w:rsidR="003A1518" w:rsidRDefault="003A1518" w:rsidP="003A1518">
      <w:pPr>
        <w:spacing w:after="0" w:line="240" w:lineRule="auto"/>
        <w:rPr>
          <w:rFonts w:ascii="Calibri" w:hAnsi="Calibri" w:cs="Calibri"/>
          <w:b/>
        </w:rPr>
      </w:pPr>
    </w:p>
    <w:p w:rsidR="003A1518" w:rsidRDefault="003A1518" w:rsidP="003A1518">
      <w:pPr>
        <w:spacing w:after="0" w:line="240" w:lineRule="auto"/>
        <w:rPr>
          <w:rFonts w:ascii="Calibri" w:hAnsi="Calibri" w:cs="Calibri"/>
          <w:b/>
        </w:rPr>
      </w:pPr>
    </w:p>
    <w:p w:rsidR="003A1518" w:rsidRDefault="003A1518" w:rsidP="003A1518">
      <w:pPr>
        <w:spacing w:after="0" w:line="240" w:lineRule="auto"/>
        <w:rPr>
          <w:rFonts w:ascii="Calibri" w:hAnsi="Calibri" w:cs="Calibri"/>
          <w:b/>
        </w:rPr>
      </w:pPr>
    </w:p>
    <w:p w:rsidR="003A1518" w:rsidRPr="00F46B22" w:rsidRDefault="003A1518" w:rsidP="003A1518">
      <w:pPr>
        <w:pStyle w:val="NoSpacing"/>
        <w:rPr>
          <w:rFonts w:cs="Calibri"/>
          <w:sz w:val="28"/>
          <w:szCs w:val="28"/>
          <w:highlight w:val="yellow"/>
        </w:rPr>
      </w:pPr>
    </w:p>
    <w:p w:rsidR="003A1518" w:rsidRDefault="003A1518" w:rsidP="003A1518">
      <w:pPr>
        <w:rPr>
          <w:i/>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3A1518">
      <w:pPr>
        <w:spacing w:after="0" w:line="240" w:lineRule="auto"/>
        <w:rPr>
          <w:rFonts w:ascii="Calibri" w:hAnsi="Calibri" w:cs="Calibri"/>
          <w:b/>
          <w:color w:val="000000"/>
        </w:rPr>
      </w:pPr>
    </w:p>
    <w:p w:rsidR="003A1518" w:rsidRPr="00C829B0" w:rsidRDefault="003A1518" w:rsidP="003A1518">
      <w:pPr>
        <w:spacing w:after="0" w:line="240" w:lineRule="auto"/>
        <w:rPr>
          <w:rFonts w:ascii="Calibri" w:hAnsi="Calibri" w:cs="Calibri"/>
          <w:color w:val="000000"/>
        </w:rPr>
      </w:pPr>
      <w:proofErr w:type="gramStart"/>
      <w:r w:rsidRPr="00C829B0">
        <w:rPr>
          <w:rFonts w:ascii="Calibri" w:hAnsi="Calibri" w:cs="Calibri"/>
          <w:b/>
          <w:color w:val="000000"/>
        </w:rPr>
        <w:t>MPOWER A Policy Package to Reverse the Tobacco Epidemic</w:t>
      </w:r>
      <w:r>
        <w:rPr>
          <w:rFonts w:ascii="Calibri" w:hAnsi="Calibri" w:cs="Calibri"/>
          <w:color w:val="000000"/>
        </w:rPr>
        <w:t xml:space="preserve"> </w:t>
      </w:r>
      <w:r w:rsidRPr="00F46B22">
        <w:rPr>
          <w:rFonts w:ascii="Calibri" w:hAnsi="Calibri" w:cs="Calibri"/>
        </w:rPr>
        <w:t xml:space="preserve">by </w:t>
      </w:r>
      <w:r>
        <w:rPr>
          <w:rFonts w:ascii="Calibri" w:hAnsi="Calibri" w:cs="Calibri"/>
        </w:rPr>
        <w:t>World Health Organization.</w:t>
      </w:r>
      <w:proofErr w:type="gramEnd"/>
      <w:r>
        <w:rPr>
          <w:rFonts w:ascii="Calibri" w:hAnsi="Calibri" w:cs="Calibri"/>
        </w:rPr>
        <w:t xml:space="preserve"> </w:t>
      </w:r>
      <w:proofErr w:type="gramStart"/>
      <w:r>
        <w:rPr>
          <w:rFonts w:ascii="Calibri" w:hAnsi="Calibri" w:cs="Calibri"/>
        </w:rPr>
        <w:t>Published in 2008</w:t>
      </w:r>
      <w:r w:rsidRPr="00F46B22">
        <w:rPr>
          <w:rFonts w:ascii="Calibri" w:hAnsi="Calibri" w:cs="Calibri"/>
        </w:rPr>
        <w:t>.</w:t>
      </w:r>
      <w:proofErr w:type="gramEnd"/>
      <w:r w:rsidRPr="00F46B22">
        <w:rPr>
          <w:rFonts w:ascii="Calibri" w:hAnsi="Calibri" w:cs="Calibri"/>
        </w:rPr>
        <w:t xml:space="preserve">  </w:t>
      </w:r>
    </w:p>
    <w:p w:rsidR="003A1518" w:rsidRPr="0064060B" w:rsidRDefault="003A1518" w:rsidP="003A1518">
      <w:pPr>
        <w:spacing w:after="0" w:line="240" w:lineRule="auto"/>
        <w:rPr>
          <w:rFonts w:ascii="Calibri" w:hAnsi="Calibri" w:cs="Calibri"/>
        </w:rPr>
      </w:pPr>
      <w:hyperlink r:id="rId9" w:history="1">
        <w:r w:rsidRPr="00F46B22">
          <w:rPr>
            <w:rStyle w:val="Hyperlink"/>
            <w:rFonts w:ascii="Calibri" w:hAnsi="Calibri" w:cs="Calibri"/>
          </w:rPr>
          <w:t>http://www.who.int/tobacco/mpower/mpower_english.pdf</w:t>
        </w:r>
      </w:hyperlink>
    </w:p>
    <w:p w:rsidR="003A1518" w:rsidRPr="00F46B22" w:rsidRDefault="003A1518" w:rsidP="003A1518">
      <w:pPr>
        <w:pStyle w:val="NoSpacing"/>
        <w:rPr>
          <w:rFonts w:cs="Calibri"/>
        </w:rPr>
      </w:pPr>
      <w:r>
        <w:rPr>
          <w:rFonts w:cs="Calibri"/>
          <w:noProof/>
          <w:sz w:val="28"/>
          <w:szCs w:val="28"/>
        </w:rPr>
        <mc:AlternateContent>
          <mc:Choice Requires="wps">
            <w:drawing>
              <wp:anchor distT="0" distB="0" distL="114300" distR="114300" simplePos="0" relativeHeight="251676672" behindDoc="0" locked="0" layoutInCell="1" allowOverlap="1" wp14:anchorId="41748799" wp14:editId="2E82E11C">
                <wp:simplePos x="0" y="0"/>
                <wp:positionH relativeFrom="column">
                  <wp:posOffset>230505</wp:posOffset>
                </wp:positionH>
                <wp:positionV relativeFrom="paragraph">
                  <wp:posOffset>158115</wp:posOffset>
                </wp:positionV>
                <wp:extent cx="4392295" cy="3239135"/>
                <wp:effectExtent l="1905" t="5715" r="12700" b="19050"/>
                <wp:wrapNone/>
                <wp:docPr id="2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3239135"/>
                        </a:xfrm>
                        <a:prstGeom prst="rect">
                          <a:avLst/>
                        </a:prstGeom>
                        <a:solidFill>
                          <a:srgbClr val="FFFFFF"/>
                        </a:solidFill>
                        <a:ln w="9525">
                          <a:solidFill>
                            <a:srgbClr val="000000"/>
                          </a:solidFill>
                          <a:miter lim="800000"/>
                          <a:headEnd/>
                          <a:tailEnd/>
                        </a:ln>
                      </wps:spPr>
                      <wps:txbx>
                        <w:txbxContent>
                          <w:p w:rsidR="003A1518" w:rsidRPr="00C829B0" w:rsidRDefault="003A1518" w:rsidP="003A1518">
                            <w:pPr>
                              <w:pStyle w:val="NoSpacing"/>
                              <w:rPr>
                                <w:rFonts w:cs="Arial"/>
                              </w:rPr>
                            </w:pPr>
                            <w:r w:rsidRPr="00C829B0">
                              <w:rPr>
                                <w:rFonts w:cs="Arial"/>
                                <w:i/>
                              </w:rPr>
                              <w:t>Section Title:</w:t>
                            </w:r>
                            <w:r w:rsidRPr="00C829B0">
                              <w:rPr>
                                <w:rFonts w:cs="Arial"/>
                              </w:rPr>
                              <w:t xml:space="preserve">  Warn About the Dangers of Tobacco</w:t>
                            </w:r>
                          </w:p>
                          <w:p w:rsidR="003A1518" w:rsidRPr="00C829B0" w:rsidRDefault="003A1518" w:rsidP="003A1518">
                            <w:pPr>
                              <w:pStyle w:val="NoSpacing"/>
                              <w:rPr>
                                <w:rFonts w:cs="Arial"/>
                                <w:i/>
                              </w:rPr>
                            </w:pPr>
                            <w:r w:rsidRPr="00C829B0">
                              <w:rPr>
                                <w:rFonts w:cs="Arial"/>
                                <w:i/>
                              </w:rPr>
                              <w:t>Pages: 20-23</w:t>
                            </w:r>
                          </w:p>
                          <w:p w:rsidR="003A1518" w:rsidRPr="00C829B0" w:rsidRDefault="003A1518" w:rsidP="003A1518">
                            <w:pPr>
                              <w:pStyle w:val="NoSpacing"/>
                              <w:rPr>
                                <w:rFonts w:cs="Arial"/>
                              </w:rPr>
                            </w:pPr>
                            <w:r w:rsidRPr="00E50BC0">
                              <w:rPr>
                                <w:rFonts w:cs="Arial"/>
                                <w:i/>
                              </w:rPr>
                              <w:t>Summary:</w:t>
                            </w:r>
                            <w:r w:rsidRPr="00C829B0">
                              <w:rPr>
                                <w:rFonts w:cs="Arial"/>
                              </w:rPr>
                              <w:t xml:space="preserve"> Provides three intervention strategies to warn the public about the harms of smoking:  warning labels, counter-advertising, and using media to cover anti-tobacco activities. </w:t>
                            </w:r>
                            <w:proofErr w:type="gramStart"/>
                            <w:r w:rsidRPr="00C829B0">
                              <w:rPr>
                                <w:rFonts w:cs="Arial"/>
                              </w:rPr>
                              <w:t>Describes the affects that tobacco industry advertising has on age, gender, and areas of residence.</w:t>
                            </w:r>
                            <w:proofErr w:type="gramEnd"/>
                            <w:r w:rsidRPr="00C829B0">
                              <w:rPr>
                                <w:rFonts w:cs="Arial"/>
                              </w:rPr>
                              <w:t xml:space="preserve"> </w:t>
                            </w:r>
                          </w:p>
                          <w:p w:rsidR="003A1518" w:rsidRDefault="003A1518" w:rsidP="003A1518">
                            <w:pPr>
                              <w:pStyle w:val="NoSpacing"/>
                              <w:rPr>
                                <w:rFonts w:cs="Arial"/>
                              </w:rPr>
                            </w:pPr>
                            <w:r w:rsidRPr="00C829B0">
                              <w:rPr>
                                <w:rFonts w:cs="Arial"/>
                              </w:rPr>
                              <w:t xml:space="preserve">Section Title: Enforce Bans on Tobacco, Advertising, Promotion, and Sponsorship. </w:t>
                            </w:r>
                          </w:p>
                          <w:p w:rsidR="003A1518" w:rsidRDefault="003A1518" w:rsidP="003A1518">
                            <w:pPr>
                              <w:pStyle w:val="NoSpacing"/>
                              <w:rPr>
                                <w:rFonts w:cs="Arial"/>
                              </w:rPr>
                            </w:pPr>
                            <w:hyperlink r:id="rId10" w:anchor="page=20" w:history="1">
                              <w:r w:rsidRPr="000C3897">
                                <w:rPr>
                                  <w:rStyle w:val="Hyperlink"/>
                                  <w:rFonts w:cs="Arial"/>
                                </w:rPr>
                                <w:t>http://www.who.int/tobacco/mpower/mpower_english.pdf#page=20</w:t>
                              </w:r>
                            </w:hyperlink>
                            <w:r>
                              <w:rPr>
                                <w:rFonts w:cs="Arial"/>
                              </w:rPr>
                              <w:t xml:space="preserve"> </w:t>
                            </w:r>
                          </w:p>
                          <w:p w:rsidR="003A1518" w:rsidRPr="00E77726" w:rsidRDefault="003A1518" w:rsidP="003A1518">
                            <w:pPr>
                              <w:pStyle w:val="NoSpacing"/>
                              <w:rPr>
                                <w:rFonts w:cs="Arial"/>
                                <w:i/>
                              </w:rPr>
                            </w:pPr>
                            <w:r w:rsidRPr="00E77726">
                              <w:rPr>
                                <w:rFonts w:cs="Arial"/>
                                <w:i/>
                              </w:rPr>
                              <w:t>Pages: 23-26</w:t>
                            </w:r>
                          </w:p>
                          <w:p w:rsidR="003A1518" w:rsidRPr="00C829B0" w:rsidRDefault="003A1518" w:rsidP="003A1518">
                            <w:pPr>
                              <w:pStyle w:val="NoSpacing"/>
                              <w:rPr>
                                <w:rFonts w:cs="Arial"/>
                              </w:rPr>
                            </w:pPr>
                            <w:r w:rsidRPr="00E50BC0">
                              <w:rPr>
                                <w:rFonts w:cs="Arial"/>
                                <w:i/>
                              </w:rPr>
                              <w:t>Summary:</w:t>
                            </w:r>
                            <w:r w:rsidRPr="00C829B0">
                              <w:rPr>
                                <w:rFonts w:cs="Arial"/>
                              </w:rPr>
                              <w:t xml:space="preserve"> Discusses importance of enforcing effective legislation banning direct and indirect tobacco marketing. Key aspects that legislators should consider are prohibitions on ads in all media, restrictions on marketing activities by importers, and restrictions in entertainment activities such as sports. </w:t>
                            </w:r>
                          </w:p>
                          <w:p w:rsidR="003A1518" w:rsidRPr="00C829B0" w:rsidRDefault="003A1518" w:rsidP="003A1518">
                            <w:pPr>
                              <w:pStyle w:val="NoSpacing"/>
                              <w:rPr>
                                <w:rFonts w:cs="Arial"/>
                              </w:rPr>
                            </w:pPr>
                            <w:r w:rsidRPr="00E50BC0">
                              <w:rPr>
                                <w:rFonts w:cs="Arial"/>
                                <w:i/>
                              </w:rPr>
                              <w:t>Section Highlights:</w:t>
                            </w:r>
                            <w:r w:rsidRPr="00C829B0">
                              <w:rPr>
                                <w:rFonts w:cs="Arial"/>
                              </w:rPr>
                              <w:t xml:space="preserve"> Graph on pg. 25, Comprehensive Advertising Bans Amplify Other Interventions.</w:t>
                            </w:r>
                          </w:p>
                          <w:p w:rsidR="003A1518" w:rsidRPr="000D669D" w:rsidRDefault="003A1518" w:rsidP="003A1518">
                            <w:pPr>
                              <w:pStyle w:val="NoSpacing"/>
                              <w:rPr>
                                <w:rFonts w:cs="Arial"/>
                              </w:rPr>
                            </w:pPr>
                            <w:hyperlink r:id="rId11" w:anchor="page=23" w:history="1">
                              <w:r w:rsidRPr="000C3897">
                                <w:rPr>
                                  <w:rStyle w:val="Hyperlink"/>
                                  <w:rFonts w:cs="Arial"/>
                                </w:rPr>
                                <w:t>http://www.who.int/tobacco/mpower/mpower_english.pdf#page=23</w:t>
                              </w:r>
                            </w:hyperlink>
                            <w:r>
                              <w:rPr>
                                <w:rFonts w:cs="Arial"/>
                              </w:rPr>
                              <w:t xml:space="preserve"> </w:t>
                            </w:r>
                          </w:p>
                          <w:p w:rsidR="003A1518" w:rsidRPr="009A1D03" w:rsidRDefault="003A1518" w:rsidP="003A1518">
                            <w:pPr>
                              <w:pStyle w:val="NoSpacing"/>
                              <w:rPr>
                                <w:rFonts w:cs="Arial"/>
                              </w:rPr>
                            </w:pPr>
                            <w:r w:rsidRPr="000D669D">
                              <w:rPr>
                                <w:rFonts w:cs="Arial"/>
                              </w:rPr>
                              <w:t xml:space="preserve"> </w:t>
                            </w:r>
                            <w:r w:rsidRPr="0064060B">
                              <w:rPr>
                                <w:rFonts w:cs="Arial"/>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8.15pt;margin-top:12.45pt;width:345.85pt;height:255.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">
                <v:textbox>
                  <w:txbxContent>
                    <w:p w:rsidR="003A1518" w:rsidRPr="00C829B0" w:rsidRDefault="003A1518" w:rsidP="003A1518">
                      <w:pPr>
                        <w:pStyle w:val="NoSpacing"/>
                        <w:rPr>
                          <w:rFonts w:cs="Arial"/>
                        </w:rPr>
                      </w:pPr>
                      <w:r w:rsidRPr="00C829B0">
                        <w:rPr>
                          <w:rFonts w:cs="Arial"/>
                          <w:i/>
                        </w:rPr>
                        <w:t>Section Title:</w:t>
                      </w:r>
                      <w:r w:rsidRPr="00C829B0">
                        <w:rPr>
                          <w:rFonts w:cs="Arial"/>
                        </w:rPr>
                        <w:t xml:space="preserve">  Warn About the Dangers of Tobacco</w:t>
                      </w:r>
                    </w:p>
                    <w:p w:rsidR="003A1518" w:rsidRPr="00C829B0" w:rsidRDefault="003A1518" w:rsidP="003A1518">
                      <w:pPr>
                        <w:pStyle w:val="NoSpacing"/>
                        <w:rPr>
                          <w:rFonts w:cs="Arial"/>
                          <w:i/>
                        </w:rPr>
                      </w:pPr>
                      <w:r w:rsidRPr="00C829B0">
                        <w:rPr>
                          <w:rFonts w:cs="Arial"/>
                          <w:i/>
                        </w:rPr>
                        <w:t>Pages: 20-23</w:t>
                      </w:r>
                    </w:p>
                    <w:p w:rsidR="003A1518" w:rsidRPr="00C829B0" w:rsidRDefault="003A1518" w:rsidP="003A1518">
                      <w:pPr>
                        <w:pStyle w:val="NoSpacing"/>
                        <w:rPr>
                          <w:rFonts w:cs="Arial"/>
                        </w:rPr>
                      </w:pPr>
                      <w:r w:rsidRPr="00E50BC0">
                        <w:rPr>
                          <w:rFonts w:cs="Arial"/>
                          <w:i/>
                        </w:rPr>
                        <w:t>Summary:</w:t>
                      </w:r>
                      <w:r w:rsidRPr="00C829B0">
                        <w:rPr>
                          <w:rFonts w:cs="Arial"/>
                        </w:rPr>
                        <w:t xml:space="preserve"> Provides three intervention strategies to warn the public about the harms of smoking:  warning labels, counter-advertising, and using media to cover anti-tobacco activities. </w:t>
                      </w:r>
                      <w:proofErr w:type="gramStart"/>
                      <w:r w:rsidRPr="00C829B0">
                        <w:rPr>
                          <w:rFonts w:cs="Arial"/>
                        </w:rPr>
                        <w:t>Describes the affects that tobacco industry advertising has on age, gender, and areas of residence.</w:t>
                      </w:r>
                      <w:proofErr w:type="gramEnd"/>
                      <w:r w:rsidRPr="00C829B0">
                        <w:rPr>
                          <w:rFonts w:cs="Arial"/>
                        </w:rPr>
                        <w:t xml:space="preserve"> </w:t>
                      </w:r>
                    </w:p>
                    <w:p w:rsidR="003A1518" w:rsidRDefault="003A1518" w:rsidP="003A1518">
                      <w:pPr>
                        <w:pStyle w:val="NoSpacing"/>
                        <w:rPr>
                          <w:rFonts w:cs="Arial"/>
                        </w:rPr>
                      </w:pPr>
                      <w:r w:rsidRPr="00C829B0">
                        <w:rPr>
                          <w:rFonts w:cs="Arial"/>
                        </w:rPr>
                        <w:t xml:space="preserve">Section Title: Enforce Bans on Tobacco, Advertising, Promotion, and Sponsorship. </w:t>
                      </w:r>
                    </w:p>
                    <w:p w:rsidR="003A1518" w:rsidRDefault="003A1518" w:rsidP="003A1518">
                      <w:pPr>
                        <w:pStyle w:val="NoSpacing"/>
                        <w:rPr>
                          <w:rFonts w:cs="Arial"/>
                        </w:rPr>
                      </w:pPr>
                      <w:hyperlink r:id="rId12" w:anchor="page=20" w:history="1">
                        <w:r w:rsidRPr="000C3897">
                          <w:rPr>
                            <w:rStyle w:val="Hyperlink"/>
                            <w:rFonts w:cs="Arial"/>
                          </w:rPr>
                          <w:t>http://www.who.int/tobacco/mpower/mpower_english.pdf#page=20</w:t>
                        </w:r>
                      </w:hyperlink>
                      <w:r>
                        <w:rPr>
                          <w:rFonts w:cs="Arial"/>
                        </w:rPr>
                        <w:t xml:space="preserve"> </w:t>
                      </w:r>
                    </w:p>
                    <w:p w:rsidR="003A1518" w:rsidRPr="00E77726" w:rsidRDefault="003A1518" w:rsidP="003A1518">
                      <w:pPr>
                        <w:pStyle w:val="NoSpacing"/>
                        <w:rPr>
                          <w:rFonts w:cs="Arial"/>
                          <w:i/>
                        </w:rPr>
                      </w:pPr>
                      <w:r w:rsidRPr="00E77726">
                        <w:rPr>
                          <w:rFonts w:cs="Arial"/>
                          <w:i/>
                        </w:rPr>
                        <w:t>Pages: 23-26</w:t>
                      </w:r>
                    </w:p>
                    <w:p w:rsidR="003A1518" w:rsidRPr="00C829B0" w:rsidRDefault="003A1518" w:rsidP="003A1518">
                      <w:pPr>
                        <w:pStyle w:val="NoSpacing"/>
                        <w:rPr>
                          <w:rFonts w:cs="Arial"/>
                        </w:rPr>
                      </w:pPr>
                      <w:r w:rsidRPr="00E50BC0">
                        <w:rPr>
                          <w:rFonts w:cs="Arial"/>
                          <w:i/>
                        </w:rPr>
                        <w:t>Summary:</w:t>
                      </w:r>
                      <w:r w:rsidRPr="00C829B0">
                        <w:rPr>
                          <w:rFonts w:cs="Arial"/>
                        </w:rPr>
                        <w:t xml:space="preserve"> Discusses importance of enforcing effective legislation banning direct and indirect tobacco marketing. Key aspects that legislators should consider are prohibitions on ads in all media, restrictions on marketing activities by importers, and restrictions in entertainment activities such as sports. </w:t>
                      </w:r>
                    </w:p>
                    <w:p w:rsidR="003A1518" w:rsidRPr="00C829B0" w:rsidRDefault="003A1518" w:rsidP="003A1518">
                      <w:pPr>
                        <w:pStyle w:val="NoSpacing"/>
                        <w:rPr>
                          <w:rFonts w:cs="Arial"/>
                        </w:rPr>
                      </w:pPr>
                      <w:r w:rsidRPr="00E50BC0">
                        <w:rPr>
                          <w:rFonts w:cs="Arial"/>
                          <w:i/>
                        </w:rPr>
                        <w:t>Section Highlights:</w:t>
                      </w:r>
                      <w:r w:rsidRPr="00C829B0">
                        <w:rPr>
                          <w:rFonts w:cs="Arial"/>
                        </w:rPr>
                        <w:t xml:space="preserve"> Graph on pg. 25, Comprehensive Advertising Bans Amplify Other Interventions.</w:t>
                      </w:r>
                    </w:p>
                    <w:p w:rsidR="003A1518" w:rsidRPr="000D669D" w:rsidRDefault="003A1518" w:rsidP="003A1518">
                      <w:pPr>
                        <w:pStyle w:val="NoSpacing"/>
                        <w:rPr>
                          <w:rFonts w:cs="Arial"/>
                        </w:rPr>
                      </w:pPr>
                      <w:hyperlink r:id="rId13" w:anchor="page=23" w:history="1">
                        <w:r w:rsidRPr="000C3897">
                          <w:rPr>
                            <w:rStyle w:val="Hyperlink"/>
                            <w:rFonts w:cs="Arial"/>
                          </w:rPr>
                          <w:t>http://www.who.int/tobacco/mpower/mpower_english.pdf#page=23</w:t>
                        </w:r>
                      </w:hyperlink>
                      <w:r>
                        <w:rPr>
                          <w:rFonts w:cs="Arial"/>
                        </w:rPr>
                        <w:t xml:space="preserve"> </w:t>
                      </w:r>
                    </w:p>
                    <w:p w:rsidR="003A1518" w:rsidRPr="009A1D03" w:rsidRDefault="003A1518" w:rsidP="003A1518">
                      <w:pPr>
                        <w:pStyle w:val="NoSpacing"/>
                        <w:rPr>
                          <w:rFonts w:cs="Arial"/>
                        </w:rPr>
                      </w:pPr>
                      <w:r w:rsidRPr="000D669D">
                        <w:rPr>
                          <w:rFonts w:cs="Arial"/>
                        </w:rPr>
                        <w:t xml:space="preserve"> </w:t>
                      </w:r>
                      <w:r w:rsidRPr="0064060B">
                        <w:rPr>
                          <w:rFonts w:cs="Arial"/>
                        </w:rPr>
                        <w:t xml:space="preserve"> </w:t>
                      </w:r>
                    </w:p>
                  </w:txbxContent>
                </v:textbox>
              </v:shape>
            </w:pict>
          </mc:Fallback>
        </mc:AlternateContent>
      </w:r>
      <w:r>
        <w:rPr>
          <w:rFonts w:cs="Calibri"/>
          <w:noProof/>
        </w:rPr>
        <mc:AlternateContent>
          <mc:Choice Requires="wps">
            <w:drawing>
              <wp:anchor distT="0" distB="0" distL="114300" distR="114300" simplePos="0" relativeHeight="251675648" behindDoc="1" locked="0" layoutInCell="1" allowOverlap="1" wp14:anchorId="6E02B18E" wp14:editId="7862923D">
                <wp:simplePos x="0" y="0"/>
                <wp:positionH relativeFrom="column">
                  <wp:posOffset>106045</wp:posOffset>
                </wp:positionH>
                <wp:positionV relativeFrom="paragraph">
                  <wp:posOffset>79375</wp:posOffset>
                </wp:positionV>
                <wp:extent cx="5708015" cy="3456305"/>
                <wp:effectExtent l="4445" t="3175" r="15240" b="7620"/>
                <wp:wrapNone/>
                <wp:docPr id="2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3456305"/>
                        </a:xfrm>
                        <a:prstGeom prst="rect">
                          <a:avLst/>
                        </a:prstGeom>
                        <a:solidFill>
                          <a:srgbClr val="FFFFFF"/>
                        </a:solidFill>
                        <a:ln w="9525">
                          <a:solidFill>
                            <a:srgbClr val="000000"/>
                          </a:solidFill>
                          <a:miter lim="800000"/>
                          <a:headEnd/>
                          <a:tailEnd/>
                        </a:ln>
                      </wps:spPr>
                      <wps:txbx>
                        <w:txbxContent>
                          <w:p w:rsidR="003A1518" w:rsidRPr="002F0881" w:rsidRDefault="003A1518" w:rsidP="003A1518">
                            <w:pPr>
                              <w:pStyle w:val="NoSpacing"/>
                              <w:ind w:left="360"/>
                            </w:pPr>
                          </w:p>
                          <w:p w:rsidR="003A1518" w:rsidRDefault="003A1518" w:rsidP="003A151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8.35pt;margin-top:6.25pt;width:449.45pt;height:272.1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">
                <v:textbox>
                  <w:txbxContent>
                    <w:p w:rsidR="003A1518" w:rsidRPr="002F0881" w:rsidRDefault="003A1518" w:rsidP="003A1518">
                      <w:pPr>
                        <w:pStyle w:val="NoSpacing"/>
                        <w:ind w:left="360"/>
                      </w:pPr>
                    </w:p>
                    <w:p w:rsidR="003A1518" w:rsidRDefault="003A1518" w:rsidP="003A1518">
                      <w:pPr>
                        <w:ind w:left="5760" w:firstLine="720"/>
                      </w:pPr>
                    </w:p>
                  </w:txbxContent>
                </v:textbox>
              </v:shape>
            </w:pict>
          </mc:Fallback>
        </mc:AlternateContent>
      </w:r>
    </w:p>
    <w:p w:rsidR="003A1518" w:rsidRPr="00F46B22" w:rsidRDefault="003A1518" w:rsidP="003A1518">
      <w:pPr>
        <w:pStyle w:val="NoSpacing"/>
        <w:rPr>
          <w:rFonts w:cs="Calibri"/>
          <w:sz w:val="28"/>
          <w:szCs w:val="28"/>
          <w:highlight w:val="yellow"/>
        </w:rPr>
      </w:pPr>
    </w:p>
    <w:p w:rsidR="003A1518" w:rsidRPr="00F46B22" w:rsidRDefault="003A1518" w:rsidP="003A1518">
      <w:pPr>
        <w:pStyle w:val="NoSpacing"/>
        <w:rPr>
          <w:rFonts w:cs="Calibri"/>
          <w:sz w:val="28"/>
          <w:szCs w:val="28"/>
          <w:highlight w:val="yellow"/>
        </w:rPr>
      </w:pPr>
    </w:p>
    <w:p w:rsidR="003A1518" w:rsidRDefault="003A1518" w:rsidP="003A1518">
      <w:pPr>
        <w:rPr>
          <w:rFonts w:ascii="Calibri" w:hAnsi="Calibri" w:cs="Calibri"/>
          <w:sz w:val="20"/>
        </w:rPr>
      </w:pPr>
      <w:r>
        <w:rPr>
          <w:noProof/>
        </w:rPr>
        <w:drawing>
          <wp:anchor distT="0" distB="0" distL="114300" distR="114300" simplePos="0" relativeHeight="251677696" behindDoc="0" locked="0" layoutInCell="1" allowOverlap="1" wp14:anchorId="78911F86" wp14:editId="72735123">
            <wp:simplePos x="0" y="0"/>
            <wp:positionH relativeFrom="column">
              <wp:posOffset>4678045</wp:posOffset>
            </wp:positionH>
            <wp:positionV relativeFrom="paragraph">
              <wp:posOffset>335915</wp:posOffset>
            </wp:positionV>
            <wp:extent cx="1029335" cy="1456690"/>
            <wp:effectExtent l="25400" t="25400" r="37465" b="16510"/>
            <wp:wrapNone/>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14" cstate="print">
                      <a:extLst>
                        <a:ext uri="{28A0092B-C50C-407E-A947-70E740481C1C}">
                          <a14:useLocalDpi xmlns:a14="http://schemas.microsoft.com/office/drawing/2010/main"/>
                        </a:ext>
                      </a:extLst>
                    </a:blip>
                    <a:srcRect/>
                    <a:stretch>
                      <a:fillRect/>
                    </a:stretch>
                  </pic:blipFill>
                  <pic:spPr bwMode="auto">
                    <a:xfrm>
                      <a:off x="0" y="0"/>
                      <a:ext cx="1029335" cy="145669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3A1518" w:rsidRDefault="003A1518" w:rsidP="003A1518">
      <w:pPr>
        <w:rPr>
          <w:b/>
        </w:rPr>
      </w:pPr>
    </w:p>
    <w:p w:rsidR="003A1518" w:rsidRDefault="003A1518" w:rsidP="003A1518">
      <w:pPr>
        <w:rPr>
          <w:i/>
        </w:rPr>
      </w:pPr>
    </w:p>
    <w:p w:rsidR="003A1518" w:rsidRDefault="003A1518" w:rsidP="003A1518">
      <w:pPr>
        <w:rPr>
          <w:i/>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3A1518">
      <w:pPr>
        <w:spacing w:after="0" w:line="240" w:lineRule="auto"/>
        <w:rPr>
          <w:rFonts w:ascii="Calibri" w:hAnsi="Calibri" w:cs="Calibri"/>
        </w:rPr>
      </w:pPr>
      <w:r w:rsidRPr="00F46B22">
        <w:rPr>
          <w:rFonts w:ascii="Calibri" w:hAnsi="Calibri" w:cs="Calibri"/>
          <w:b/>
        </w:rPr>
        <w:t>Guidelines for implementatio</w:t>
      </w:r>
      <w:r>
        <w:rPr>
          <w:rFonts w:ascii="Calibri" w:hAnsi="Calibri" w:cs="Calibri"/>
          <w:b/>
        </w:rPr>
        <w:t xml:space="preserve">n of Article 13 of the WHO Framework Convention on Tobacco Control </w:t>
      </w:r>
      <w:r w:rsidRPr="00F46B22">
        <w:rPr>
          <w:rFonts w:ascii="Calibri" w:hAnsi="Calibri" w:cs="Calibri"/>
          <w:b/>
        </w:rPr>
        <w:t>(Tobacco advertising, promotion and sponsorship</w:t>
      </w:r>
      <w:proofErr w:type="gramStart"/>
      <w:r w:rsidRPr="00F46B22">
        <w:rPr>
          <w:rFonts w:ascii="Calibri" w:hAnsi="Calibri" w:cs="Calibri"/>
          <w:b/>
        </w:rPr>
        <w:t xml:space="preserve">) </w:t>
      </w:r>
      <w:r>
        <w:rPr>
          <w:rFonts w:ascii="Calibri" w:hAnsi="Calibri" w:cs="Calibri"/>
        </w:rPr>
        <w:t xml:space="preserve"> </w:t>
      </w:r>
      <w:r w:rsidRPr="00F46B22">
        <w:rPr>
          <w:rFonts w:ascii="Calibri" w:hAnsi="Calibri" w:cs="Calibri"/>
        </w:rPr>
        <w:t>by</w:t>
      </w:r>
      <w:proofErr w:type="gramEnd"/>
      <w:r w:rsidRPr="00F46B22">
        <w:rPr>
          <w:rFonts w:ascii="Calibri" w:hAnsi="Calibri" w:cs="Calibri"/>
        </w:rPr>
        <w:t xml:space="preserve"> </w:t>
      </w:r>
      <w:r>
        <w:rPr>
          <w:rFonts w:ascii="Calibri" w:hAnsi="Calibri" w:cs="Calibri"/>
        </w:rPr>
        <w:t xml:space="preserve">World Health Organization Framework Convention on Tobacco Control. </w:t>
      </w:r>
      <w:proofErr w:type="gramStart"/>
      <w:r>
        <w:rPr>
          <w:rFonts w:ascii="Calibri" w:hAnsi="Calibri" w:cs="Calibri"/>
        </w:rPr>
        <w:t>Published in 2012</w:t>
      </w:r>
      <w:r w:rsidRPr="00F46B22">
        <w:rPr>
          <w:rFonts w:ascii="Calibri" w:hAnsi="Calibri" w:cs="Calibri"/>
        </w:rPr>
        <w:t>.</w:t>
      </w:r>
      <w:proofErr w:type="gramEnd"/>
      <w:r w:rsidRPr="00F46B22">
        <w:rPr>
          <w:rFonts w:ascii="Calibri" w:hAnsi="Calibri" w:cs="Calibri"/>
        </w:rPr>
        <w:t xml:space="preserve">  </w:t>
      </w:r>
    </w:p>
    <w:p w:rsidR="003A1518" w:rsidRPr="00281520" w:rsidRDefault="003A1518" w:rsidP="003A1518">
      <w:pPr>
        <w:pStyle w:val="NoSpacing"/>
      </w:pPr>
      <w:hyperlink r:id="rId15" w:history="1">
        <w:r w:rsidRPr="00831AA3">
          <w:rPr>
            <w:rStyle w:val="Hyperlink"/>
          </w:rPr>
          <w:t>http://www.who.int/fctc/guidelines/article_13.pdf</w:t>
        </w:r>
      </w:hyperlink>
    </w:p>
    <w:p w:rsidR="003A1518" w:rsidRPr="00F46B22" w:rsidRDefault="003A1518" w:rsidP="003A1518">
      <w:pPr>
        <w:pStyle w:val="NoSpacing"/>
        <w:rPr>
          <w:rFonts w:cs="Calibri"/>
          <w:sz w:val="28"/>
          <w:szCs w:val="28"/>
          <w:highlight w:val="yellow"/>
        </w:rPr>
      </w:pPr>
      <w:r>
        <w:rPr>
          <w:noProof/>
        </w:rPr>
        <w:drawing>
          <wp:anchor distT="0" distB="0" distL="114300" distR="114300" simplePos="0" relativeHeight="251681792" behindDoc="0" locked="0" layoutInCell="1" allowOverlap="1" wp14:anchorId="083C542F" wp14:editId="0D763CC9">
            <wp:simplePos x="0" y="0"/>
            <wp:positionH relativeFrom="column">
              <wp:posOffset>4720590</wp:posOffset>
            </wp:positionH>
            <wp:positionV relativeFrom="paragraph">
              <wp:posOffset>226060</wp:posOffset>
            </wp:positionV>
            <wp:extent cx="959485" cy="1375410"/>
            <wp:effectExtent l="25400" t="25400" r="31115" b="2159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959485" cy="137541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79744" behindDoc="1" locked="0" layoutInCell="1" allowOverlap="1" wp14:anchorId="0C0696DB" wp14:editId="73D60CFF">
                <wp:simplePos x="0" y="0"/>
                <wp:positionH relativeFrom="column">
                  <wp:posOffset>106045</wp:posOffset>
                </wp:positionH>
                <wp:positionV relativeFrom="paragraph">
                  <wp:posOffset>110490</wp:posOffset>
                </wp:positionV>
                <wp:extent cx="5708015" cy="1617980"/>
                <wp:effectExtent l="4445" t="0" r="15240" b="1143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17980"/>
                        </a:xfrm>
                        <a:prstGeom prst="rect">
                          <a:avLst/>
                        </a:prstGeom>
                        <a:solidFill>
                          <a:srgbClr val="FFFFFF"/>
                        </a:solidFill>
                        <a:ln w="9525">
                          <a:solidFill>
                            <a:srgbClr val="000000"/>
                          </a:solidFill>
                          <a:miter lim="800000"/>
                          <a:headEnd/>
                          <a:tailEnd/>
                        </a:ln>
                      </wps:spPr>
                      <wps:txbx>
                        <w:txbxContent>
                          <w:p w:rsidR="003A1518" w:rsidRPr="002F0881" w:rsidRDefault="003A1518" w:rsidP="003A1518">
                            <w:pPr>
                              <w:pStyle w:val="NoSpacing"/>
                              <w:ind w:left="360"/>
                            </w:pPr>
                          </w:p>
                          <w:p w:rsidR="003A1518" w:rsidRDefault="003A1518" w:rsidP="003A151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8.35pt;margin-top:8.7pt;width:449.45pt;height:127.4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">
                <v:textbox>
                  <w:txbxContent>
                    <w:p w:rsidR="003A1518" w:rsidRPr="002F0881" w:rsidRDefault="003A1518" w:rsidP="003A1518">
                      <w:pPr>
                        <w:pStyle w:val="NoSpacing"/>
                        <w:ind w:left="360"/>
                      </w:pPr>
                    </w:p>
                    <w:p w:rsidR="003A1518" w:rsidRDefault="003A1518" w:rsidP="003A1518">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80768" behindDoc="0" locked="0" layoutInCell="1" allowOverlap="1" wp14:anchorId="75BD90BD" wp14:editId="0466977A">
                <wp:simplePos x="0" y="0"/>
                <wp:positionH relativeFrom="column">
                  <wp:posOffset>230505</wp:posOffset>
                </wp:positionH>
                <wp:positionV relativeFrom="paragraph">
                  <wp:posOffset>217170</wp:posOffset>
                </wp:positionV>
                <wp:extent cx="4392295" cy="1384300"/>
                <wp:effectExtent l="1905" t="1270" r="12700"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384300"/>
                        </a:xfrm>
                        <a:prstGeom prst="rect">
                          <a:avLst/>
                        </a:prstGeom>
                        <a:solidFill>
                          <a:srgbClr val="FFFFFF"/>
                        </a:solidFill>
                        <a:ln w="9525">
                          <a:solidFill>
                            <a:srgbClr val="000000"/>
                          </a:solidFill>
                          <a:miter lim="800000"/>
                          <a:headEnd/>
                          <a:tailEnd/>
                        </a:ln>
                      </wps:spPr>
                      <wps:txbx>
                        <w:txbxContent>
                          <w:p w:rsidR="003A1518" w:rsidRPr="00C829B0" w:rsidRDefault="003A1518" w:rsidP="003A1518">
                            <w:pPr>
                              <w:pStyle w:val="NoSpacing"/>
                              <w:rPr>
                                <w:rFonts w:cs="Arial"/>
                              </w:rPr>
                            </w:pPr>
                            <w:r w:rsidRPr="000D669D">
                              <w:rPr>
                                <w:rFonts w:cs="Arial"/>
                                <w:i/>
                              </w:rPr>
                              <w:t>Summary:</w:t>
                            </w:r>
                            <w:r w:rsidRPr="000D669D">
                              <w:rPr>
                                <w:rFonts w:cs="Arial"/>
                              </w:rPr>
                              <w:t xml:space="preserve"> </w:t>
                            </w:r>
                            <w:r w:rsidRPr="00C829B0">
                              <w:rPr>
                                <w:rFonts w:cs="Arial"/>
                              </w:rPr>
                              <w:t xml:space="preserve">Provides guidelines for implementing comprehensive tobacco advertising, promotion and sponsorship bans. </w:t>
                            </w:r>
                            <w:proofErr w:type="gramStart"/>
                            <w:r w:rsidRPr="00C829B0">
                              <w:rPr>
                                <w:rFonts w:cs="Arial"/>
                              </w:rPr>
                              <w:t>Stresses the importance of effective monitoring and the need for public education and community awareness programs essential for successful implementation.</w:t>
                            </w:r>
                            <w:proofErr w:type="gramEnd"/>
                            <w:r w:rsidRPr="00C829B0">
                              <w:rPr>
                                <w:rFonts w:cs="Arial"/>
                              </w:rPr>
                              <w:t xml:space="preserve"> </w:t>
                            </w:r>
                          </w:p>
                          <w:p w:rsidR="003A1518" w:rsidRPr="00971459" w:rsidRDefault="003A1518" w:rsidP="003A1518">
                            <w:pPr>
                              <w:pStyle w:val="NoSpacing"/>
                              <w:rPr>
                                <w:rFonts w:cs="Arial"/>
                              </w:rPr>
                            </w:pPr>
                            <w:r w:rsidRPr="00C829B0">
                              <w:rPr>
                                <w:rFonts w:cs="Arial"/>
                                <w:i/>
                              </w:rPr>
                              <w:t>Appendix, pages 17-18:</w:t>
                            </w:r>
                            <w:r w:rsidRPr="00C829B0">
                              <w:rPr>
                                <w:rFonts w:cs="Arial"/>
                              </w:rPr>
                              <w:t xml:space="preserve"> provides a non-exhaustive list of various types of tobacco advertising, promotion, and sponsorship. </w:t>
                            </w:r>
                            <w:hyperlink r:id="rId17" w:anchor="page=17" w:history="1">
                              <w:r w:rsidRPr="000C3897">
                                <w:rPr>
                                  <w:rStyle w:val="Hyperlink"/>
                                </w:rPr>
                                <w:t>http://www.who.int/fctc/guidelines/article_13.pdf#page=17</w:t>
                              </w:r>
                            </w:hyperlink>
                            <w:r>
                              <w:t xml:space="preserve"> </w:t>
                            </w:r>
                            <w:r>
                              <w:rPr>
                                <w:rFonts w:cs="Arial"/>
                              </w:rPr>
                              <w:t xml:space="preserve"> </w:t>
                            </w:r>
                          </w:p>
                          <w:p w:rsidR="003A1518" w:rsidRPr="009A1D03" w:rsidRDefault="003A1518" w:rsidP="003A1518">
                            <w:pPr>
                              <w:pStyle w:val="NoSpacing"/>
                              <w:rPr>
                                <w:rFonts w:cs="Arial"/>
                              </w:rPr>
                            </w:pPr>
                            <w:r w:rsidRPr="000D669D">
                              <w:rPr>
                                <w:rFonts w:cs="Arial"/>
                              </w:rPr>
                              <w:t xml:space="preserve"> </w:t>
                            </w:r>
                            <w:r w:rsidRPr="0064060B">
                              <w:rPr>
                                <w:rFonts w:cs="Arial"/>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8.15pt;margin-top:17.1pt;width:345.85pt;height:10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">
                <v:textbox>
                  <w:txbxContent>
                    <w:p w:rsidR="003A1518" w:rsidRPr="00C829B0" w:rsidRDefault="003A1518" w:rsidP="003A1518">
                      <w:pPr>
                        <w:pStyle w:val="NoSpacing"/>
                        <w:rPr>
                          <w:rFonts w:cs="Arial"/>
                        </w:rPr>
                      </w:pPr>
                      <w:r w:rsidRPr="000D669D">
                        <w:rPr>
                          <w:rFonts w:cs="Arial"/>
                          <w:i/>
                        </w:rPr>
                        <w:t>Summary:</w:t>
                      </w:r>
                      <w:r w:rsidRPr="000D669D">
                        <w:rPr>
                          <w:rFonts w:cs="Arial"/>
                        </w:rPr>
                        <w:t xml:space="preserve"> </w:t>
                      </w:r>
                      <w:r w:rsidRPr="00C829B0">
                        <w:rPr>
                          <w:rFonts w:cs="Arial"/>
                        </w:rPr>
                        <w:t xml:space="preserve">Provides guidelines for implementing comprehensive tobacco advertising, promotion and sponsorship bans. </w:t>
                      </w:r>
                      <w:proofErr w:type="gramStart"/>
                      <w:r w:rsidRPr="00C829B0">
                        <w:rPr>
                          <w:rFonts w:cs="Arial"/>
                        </w:rPr>
                        <w:t>Stresses the importance of effective monitoring and the need for public education and community awareness programs essential for successful implementation.</w:t>
                      </w:r>
                      <w:proofErr w:type="gramEnd"/>
                      <w:r w:rsidRPr="00C829B0">
                        <w:rPr>
                          <w:rFonts w:cs="Arial"/>
                        </w:rPr>
                        <w:t xml:space="preserve"> </w:t>
                      </w:r>
                    </w:p>
                    <w:p w:rsidR="003A1518" w:rsidRPr="00971459" w:rsidRDefault="003A1518" w:rsidP="003A1518">
                      <w:pPr>
                        <w:pStyle w:val="NoSpacing"/>
                        <w:rPr>
                          <w:rFonts w:cs="Arial"/>
                        </w:rPr>
                      </w:pPr>
                      <w:r w:rsidRPr="00C829B0">
                        <w:rPr>
                          <w:rFonts w:cs="Arial"/>
                          <w:i/>
                        </w:rPr>
                        <w:t>Appendix, pages 17-18:</w:t>
                      </w:r>
                      <w:r w:rsidRPr="00C829B0">
                        <w:rPr>
                          <w:rFonts w:cs="Arial"/>
                        </w:rPr>
                        <w:t xml:space="preserve"> provides a non-exhaustive list of various types of tobacco advertising, promotion, and sponsorship. </w:t>
                      </w:r>
                      <w:hyperlink r:id="rId18" w:anchor="page=17" w:history="1">
                        <w:r w:rsidRPr="000C3897">
                          <w:rPr>
                            <w:rStyle w:val="Hyperlink"/>
                          </w:rPr>
                          <w:t>http://www.who.int/fctc/guidelines/article_13.pdf#page=17</w:t>
                        </w:r>
                      </w:hyperlink>
                      <w:r>
                        <w:t xml:space="preserve"> </w:t>
                      </w:r>
                      <w:r>
                        <w:rPr>
                          <w:rFonts w:cs="Arial"/>
                        </w:rPr>
                        <w:t xml:space="preserve"> </w:t>
                      </w:r>
                    </w:p>
                    <w:p w:rsidR="003A1518" w:rsidRPr="009A1D03" w:rsidRDefault="003A1518" w:rsidP="003A1518">
                      <w:pPr>
                        <w:pStyle w:val="NoSpacing"/>
                        <w:rPr>
                          <w:rFonts w:cs="Arial"/>
                        </w:rPr>
                      </w:pPr>
                      <w:r w:rsidRPr="000D669D">
                        <w:rPr>
                          <w:rFonts w:cs="Arial"/>
                        </w:rPr>
                        <w:t xml:space="preserve"> </w:t>
                      </w:r>
                      <w:r w:rsidRPr="0064060B">
                        <w:rPr>
                          <w:rFonts w:cs="Arial"/>
                        </w:rPr>
                        <w:t xml:space="preserve"> </w:t>
                      </w:r>
                    </w:p>
                  </w:txbxContent>
                </v:textbox>
              </v:shape>
            </w:pict>
          </mc:Fallback>
        </mc:AlternateContent>
      </w:r>
    </w:p>
    <w:p w:rsidR="003A1518" w:rsidRPr="00F46B22" w:rsidRDefault="003A1518" w:rsidP="003A1518">
      <w:pPr>
        <w:pStyle w:val="NoSpacing"/>
        <w:rPr>
          <w:rFonts w:cs="Calibri"/>
          <w:sz w:val="28"/>
          <w:szCs w:val="28"/>
          <w:highlight w:val="yellow"/>
        </w:rPr>
      </w:pPr>
    </w:p>
    <w:p w:rsidR="003A1518" w:rsidRPr="00F46B22" w:rsidRDefault="003A1518" w:rsidP="003A1518">
      <w:pPr>
        <w:pStyle w:val="NoSpacing"/>
        <w:rPr>
          <w:rFonts w:cs="Calibri"/>
          <w:sz w:val="28"/>
          <w:szCs w:val="28"/>
          <w:highlight w:val="yellow"/>
        </w:rPr>
      </w:pPr>
    </w:p>
    <w:p w:rsidR="003A1518" w:rsidRDefault="003A1518" w:rsidP="003A1518">
      <w:pPr>
        <w:rPr>
          <w:i/>
        </w:rPr>
      </w:pPr>
    </w:p>
    <w:p w:rsidR="003A1518" w:rsidRDefault="003A1518" w:rsidP="003A1518">
      <w:pPr>
        <w:rPr>
          <w:i/>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3A1518" w:rsidRDefault="003A1518" w:rsidP="00BB46A6">
      <w:pPr>
        <w:spacing w:after="0" w:line="240" w:lineRule="auto"/>
        <w:rPr>
          <w:rFonts w:cs="êêÙøœÒ‹"/>
          <w:b/>
          <w:color w:val="333333"/>
        </w:rPr>
      </w:pPr>
    </w:p>
    <w:p w:rsidR="00BB46A6" w:rsidRPr="008A0A19" w:rsidRDefault="00BB46A6" w:rsidP="00BB46A6">
      <w:pPr>
        <w:spacing w:after="0" w:line="240" w:lineRule="auto"/>
        <w:rPr>
          <w:rFonts w:ascii="Calibri" w:hAnsi="Calibri" w:cs="Calibri"/>
          <w:b/>
        </w:rPr>
      </w:pPr>
      <w:r w:rsidRPr="008A0A19">
        <w:rPr>
          <w:rFonts w:cs="êêÙøœÒ‹"/>
          <w:b/>
          <w:color w:val="333333"/>
        </w:rPr>
        <w:t xml:space="preserve">Reducing the appeal of smoking – first experiences with Australia’s plain tobacco packaging law </w:t>
      </w:r>
      <w:r w:rsidRPr="008A0A19">
        <w:rPr>
          <w:rFonts w:cs="êêÙøœÒ‹"/>
          <w:color w:val="333333"/>
        </w:rPr>
        <w:t xml:space="preserve">by World Health Organization. </w:t>
      </w:r>
      <w:proofErr w:type="gramStart"/>
      <w:r w:rsidRPr="008A0A19">
        <w:rPr>
          <w:rFonts w:cs="êêÙøœÒ‹"/>
          <w:color w:val="333333"/>
        </w:rPr>
        <w:t>Published May 2013.</w:t>
      </w:r>
      <w:proofErr w:type="gramEnd"/>
      <w:r w:rsidRPr="008A0A19">
        <w:rPr>
          <w:rFonts w:cs="êêÙøœÒ‹"/>
          <w:color w:val="333333"/>
        </w:rPr>
        <w:t xml:space="preserve"> </w:t>
      </w:r>
    </w:p>
    <w:p w:rsidR="003A1518" w:rsidRPr="003A1518" w:rsidRDefault="00285D18" w:rsidP="00BB46A6">
      <w:pPr>
        <w:widowControl w:val="0"/>
        <w:autoSpaceDE w:val="0"/>
        <w:autoSpaceDN w:val="0"/>
        <w:adjustRightInd w:val="0"/>
        <w:spacing w:after="0" w:line="240" w:lineRule="auto"/>
        <w:rPr>
          <w:rFonts w:cs="êêÙøœÒ‹"/>
          <w:color w:val="0000FF" w:themeColor="hyperlink"/>
          <w:u w:val="single"/>
        </w:rPr>
      </w:pPr>
      <w:hyperlink r:id="rId19" w:history="1">
        <w:r w:rsidR="00BB46A6" w:rsidRPr="008A0A19">
          <w:rPr>
            <w:rStyle w:val="Hyperlink"/>
            <w:rFonts w:cs="êêÙøœÒ‹"/>
          </w:rPr>
          <w:t>http://www.who.int/features/2013/australia_tobacco_packaging/en/</w:t>
        </w:r>
      </w:hyperlink>
    </w:p>
    <w:p w:rsidR="00BB46A6" w:rsidRPr="008A0A19" w:rsidRDefault="00BB46A6" w:rsidP="00BB46A6">
      <w:pPr>
        <w:widowControl w:val="0"/>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670528" behindDoc="0" locked="0" layoutInCell="1" allowOverlap="1" wp14:anchorId="21A9D28F" wp14:editId="0AFF87FA">
                <wp:simplePos x="0" y="0"/>
                <wp:positionH relativeFrom="column">
                  <wp:posOffset>0</wp:posOffset>
                </wp:positionH>
                <wp:positionV relativeFrom="paragraph">
                  <wp:posOffset>87630</wp:posOffset>
                </wp:positionV>
                <wp:extent cx="5715000" cy="1485900"/>
                <wp:effectExtent l="50800" t="25400" r="76200" b="114300"/>
                <wp:wrapNone/>
                <wp:docPr id="20" name="Rectangle 20"/>
                <wp:cNvGraphicFramePr/>
                <a:graphic xmlns:a="http://schemas.openxmlformats.org/drawingml/2006/main">
                  <a:graphicData uri="http://schemas.microsoft.com/office/word/2010/wordprocessingShape">
                    <wps:wsp>
                      <wps:cNvSpPr/>
                      <wps:spPr>
                        <a:xfrm>
                          <a:off x="0" y="0"/>
                          <a:ext cx="5715000" cy="1485900"/>
                        </a:xfrm>
                        <a:prstGeom prst="rect">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20" o:spid="_x0000_s1026" style="position:absolute;margin-left:0;margin-top:6.9pt;width:450pt;height:117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" filled="f" strokecolor="black [3213]">
                <v:shadow on="t" color="black" opacity="22937f" origin=",.5" offset="0,.63889mm"/>
              </v:rect>
            </w:pict>
          </mc:Fallback>
        </mc:AlternateContent>
      </w:r>
    </w:p>
    <w:p w:rsidR="00BB46A6" w:rsidRDefault="00BB46A6" w:rsidP="00BB46A6">
      <w:pPr>
        <w:spacing w:after="0" w:line="240" w:lineRule="auto"/>
        <w:ind w:left="360"/>
        <w:rPr>
          <w:rFonts w:ascii="Calibri" w:hAnsi="Calibri" w:cs="Calibri"/>
          <w:b/>
        </w:rPr>
      </w:pPr>
      <w:r>
        <w:rPr>
          <w:noProof/>
        </w:rPr>
        <mc:AlternateContent>
          <mc:Choice Requires="wps">
            <w:drawing>
              <wp:anchor distT="0" distB="0" distL="114300" distR="114300" simplePos="0" relativeHeight="251669504" behindDoc="0" locked="0" layoutInCell="1" allowOverlap="1" wp14:anchorId="1BDF0110" wp14:editId="55388619">
                <wp:simplePos x="0" y="0"/>
                <wp:positionH relativeFrom="column">
                  <wp:posOffset>228600</wp:posOffset>
                </wp:positionH>
                <wp:positionV relativeFrom="paragraph">
                  <wp:posOffset>31750</wp:posOffset>
                </wp:positionV>
                <wp:extent cx="3657600" cy="1257300"/>
                <wp:effectExtent l="0" t="0" r="25400" b="38100"/>
                <wp:wrapSquare wrapText="bothSides"/>
                <wp:docPr id="21" name="Text Box 21"/>
                <wp:cNvGraphicFramePr/>
                <a:graphic xmlns:a="http://schemas.openxmlformats.org/drawingml/2006/main">
                  <a:graphicData uri="http://schemas.microsoft.com/office/word/2010/wordprocessingShape">
                    <wps:wsp>
                      <wps:cNvSpPr txBox="1"/>
                      <wps:spPr>
                        <a:xfrm>
                          <a:off x="0" y="0"/>
                          <a:ext cx="3657600" cy="12573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BB46A6" w:rsidRPr="00EA3E78" w:rsidRDefault="00BB46A6" w:rsidP="00BB46A6">
                            <w:pPr>
                              <w:pStyle w:val="NoSpacing"/>
                            </w:pPr>
                            <w:r>
                              <w:rPr>
                                <w:i/>
                              </w:rPr>
                              <w:t xml:space="preserve">Summary: </w:t>
                            </w:r>
                            <w:r>
                              <w:t xml:space="preserve">This article reflects on the effectiveness of Australia’s world-first laws on tobacco plain packaging that came into effect in December 2012. This technique is focused on reducing the attractiveness and appeal of tobacco products. They have noticed an increase in callers to quit lines, which could be attributed to the dislike of the new packaging of tobacco products.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left:0;text-align:left;margin-left:18pt;margin-top:2.5pt;width:4in;height:99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" filled="f" strokecolor="black [3213]">
                <v:textbox>
                  <w:txbxContent>
                    <w:p w:rsidR="00BB46A6" w:rsidRPr="00EA3E78" w:rsidRDefault="00BB46A6" w:rsidP="00BB46A6">
                      <w:pPr>
                        <w:pStyle w:val="NoSpacing"/>
                      </w:pPr>
                      <w:r>
                        <w:rPr>
                          <w:i/>
                        </w:rPr>
                        <w:t xml:space="preserve">Summary: </w:t>
                      </w:r>
                      <w:r>
                        <w:t xml:space="preserve">This article reflects on the effectiveness of Australia’s world-first laws on tobacco plain packaging that came into effect in December 2012. This technique is focused on reducing the attractiveness and appeal of tobacco products. They have noticed an increase in callers to quit lines, which could be attributed to the dislike of the new packaging of tobacco products. </w:t>
                      </w:r>
                    </w:p>
                  </w:txbxContent>
                </v:textbox>
                <w10:wrap type="square"/>
              </v:shape>
            </w:pict>
          </mc:Fallback>
        </mc:AlternateContent>
      </w:r>
      <w:r w:rsidRPr="008A0A19">
        <w:rPr>
          <w:rFonts w:ascii="Calibri" w:hAnsi="Calibri" w:cs="Calibri"/>
          <w:b/>
        </w:rPr>
        <w:t xml:space="preserve">     </w:t>
      </w:r>
      <w:r>
        <w:rPr>
          <w:noProof/>
        </w:rPr>
        <w:drawing>
          <wp:inline distT="0" distB="0" distL="0" distR="0" wp14:anchorId="747D4B44" wp14:editId="05BD55E9">
            <wp:extent cx="1028700" cy="1239753"/>
            <wp:effectExtent l="25400" t="25400" r="12700" b="3048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3-09-20 at 8.08.49 AM.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029067" cy="1240196"/>
                    </a:xfrm>
                    <a:prstGeom prst="rect">
                      <a:avLst/>
                    </a:prstGeom>
                    <a:ln>
                      <a:solidFill>
                        <a:schemeClr val="tx1"/>
                      </a:solidFill>
                    </a:ln>
                  </pic:spPr>
                </pic:pic>
              </a:graphicData>
            </a:graphic>
          </wp:inline>
        </w:drawing>
      </w:r>
    </w:p>
    <w:p w:rsidR="003A1518" w:rsidRDefault="003A1518" w:rsidP="00BB46A6">
      <w:pPr>
        <w:spacing w:after="0" w:line="240" w:lineRule="auto"/>
        <w:ind w:left="360"/>
        <w:rPr>
          <w:rFonts w:ascii="Calibri" w:hAnsi="Calibri" w:cs="Calibri"/>
          <w:b/>
        </w:rPr>
      </w:pPr>
    </w:p>
    <w:p w:rsidR="003A1518" w:rsidRDefault="003A1518" w:rsidP="00BB46A6">
      <w:pPr>
        <w:spacing w:after="0" w:line="240" w:lineRule="auto"/>
        <w:ind w:left="360"/>
        <w:rPr>
          <w:rFonts w:ascii="Calibri" w:hAnsi="Calibri" w:cs="Calibri"/>
          <w:b/>
        </w:rPr>
      </w:pPr>
    </w:p>
    <w:p w:rsidR="003A1518" w:rsidRDefault="003A1518" w:rsidP="00BB46A6">
      <w:pPr>
        <w:spacing w:after="0" w:line="240" w:lineRule="auto"/>
        <w:ind w:left="360"/>
        <w:rPr>
          <w:rFonts w:ascii="Calibri" w:hAnsi="Calibri" w:cs="Calibri"/>
          <w:b/>
        </w:rPr>
      </w:pPr>
    </w:p>
    <w:p w:rsidR="003A1518" w:rsidRDefault="003A1518" w:rsidP="00BB46A6">
      <w:pPr>
        <w:spacing w:after="0" w:line="240" w:lineRule="auto"/>
        <w:ind w:left="360"/>
        <w:rPr>
          <w:rFonts w:ascii="Calibri" w:hAnsi="Calibri" w:cs="Calibri"/>
          <w:b/>
        </w:rPr>
      </w:pPr>
    </w:p>
    <w:p w:rsidR="003A1518" w:rsidRPr="008A0A19" w:rsidRDefault="003A1518" w:rsidP="00BB46A6">
      <w:pPr>
        <w:spacing w:after="0" w:line="240" w:lineRule="auto"/>
        <w:ind w:left="360"/>
        <w:rPr>
          <w:rFonts w:cs="êêÙøœÒ‹"/>
          <w:color w:val="333333"/>
        </w:rPr>
        <w:sectPr w:rsidR="003A1518" w:rsidRPr="008A0A19" w:rsidSect="00BB46A6">
          <w:headerReference w:type="default" r:id="rId21"/>
          <w:footerReference w:type="default" r:id="rId22"/>
          <w:pgSz w:w="12240" w:h="15840"/>
          <w:pgMar w:top="1440" w:right="1440" w:bottom="1440" w:left="1440" w:header="720" w:footer="720" w:gutter="0"/>
          <w:cols w:space="720"/>
          <w:docGrid w:linePitch="360"/>
        </w:sectPr>
      </w:pPr>
    </w:p>
    <w:p w:rsidR="003A1518" w:rsidRDefault="003A1518" w:rsidP="00BB46A6">
      <w:pPr>
        <w:pStyle w:val="NoSpacing"/>
        <w:rPr>
          <w:b/>
        </w:rPr>
      </w:pPr>
    </w:p>
    <w:p w:rsidR="00BB46A6" w:rsidRDefault="00BB46A6" w:rsidP="00BB46A6">
      <w:pPr>
        <w:pStyle w:val="NoSpacing"/>
      </w:pPr>
      <w:bookmarkStart w:id="0" w:name="_GoBack"/>
      <w:bookmarkEnd w:id="0"/>
      <w:r>
        <w:rPr>
          <w:b/>
        </w:rPr>
        <w:t xml:space="preserve">WHO Report on the Global Tobacco Epidemic, 2013 </w:t>
      </w:r>
      <w:r>
        <w:t xml:space="preserve">by World Health </w:t>
      </w:r>
      <w:proofErr w:type="gramStart"/>
      <w:r>
        <w:t>Organization.</w:t>
      </w:r>
      <w:proofErr w:type="gramEnd"/>
      <w:r>
        <w:t xml:space="preserve"> </w:t>
      </w:r>
      <w:proofErr w:type="gramStart"/>
      <w:r>
        <w:t>Published in 2013.</w:t>
      </w:r>
      <w:proofErr w:type="gramEnd"/>
      <w:r>
        <w:t xml:space="preserve"> </w:t>
      </w:r>
    </w:p>
    <w:p w:rsidR="00BB46A6" w:rsidRDefault="00285D18" w:rsidP="00BB46A6">
      <w:pPr>
        <w:pStyle w:val="NoSpacing"/>
        <w:rPr>
          <w:lang w:val="pl-PL"/>
        </w:rPr>
      </w:pPr>
      <w:hyperlink r:id="rId23" w:history="1">
        <w:r w:rsidR="00BB46A6" w:rsidRPr="00831AA3">
          <w:rPr>
            <w:rStyle w:val="Hyperlink"/>
            <w:lang w:val="pl-PL"/>
          </w:rPr>
          <w:t>http://apps.who.int/iris/bitstream/10665/85380/1/9789241505871_eng.pdf</w:t>
        </w:r>
      </w:hyperlink>
    </w:p>
    <w:p w:rsidR="00BB46A6" w:rsidRDefault="00BB46A6" w:rsidP="00BB46A6">
      <w:pPr>
        <w:pStyle w:val="NoSpacing"/>
        <w:rPr>
          <w:lang w:val="pl-PL"/>
        </w:rPr>
      </w:pPr>
      <w:r>
        <w:rPr>
          <w:rFonts w:cs="Calibri"/>
          <w:noProof/>
        </w:rPr>
        <mc:AlternateContent>
          <mc:Choice Requires="wps">
            <w:drawing>
              <wp:anchor distT="0" distB="0" distL="114300" distR="114300" simplePos="0" relativeHeight="251668480" behindDoc="1" locked="0" layoutInCell="1" allowOverlap="1" wp14:anchorId="144F48B3" wp14:editId="40A4AA75">
                <wp:simplePos x="0" y="0"/>
                <wp:positionH relativeFrom="column">
                  <wp:posOffset>0</wp:posOffset>
                </wp:positionH>
                <wp:positionV relativeFrom="paragraph">
                  <wp:posOffset>79375</wp:posOffset>
                </wp:positionV>
                <wp:extent cx="5708015" cy="2971800"/>
                <wp:effectExtent l="0" t="0" r="32385" b="2540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971800"/>
                        </a:xfrm>
                        <a:prstGeom prst="rect">
                          <a:avLst/>
                        </a:prstGeom>
                        <a:solidFill>
                          <a:srgbClr val="FFFFFF"/>
                        </a:solidFill>
                        <a:ln w="9525">
                          <a:solidFill>
                            <a:srgbClr val="000000"/>
                          </a:solidFill>
                          <a:miter lim="800000"/>
                          <a:headEnd/>
                          <a:tailEnd/>
                        </a:ln>
                      </wps:spPr>
                      <wps:txbx>
                        <w:txbxContent>
                          <w:p w:rsidR="00BB46A6" w:rsidRPr="002F0881" w:rsidRDefault="00BB46A6" w:rsidP="00BB46A6">
                            <w:pPr>
                              <w:pStyle w:val="NoSpacing"/>
                              <w:ind w:left="360"/>
                            </w:pPr>
                          </w:p>
                          <w:p w:rsidR="00BB46A6" w:rsidRDefault="00BB46A6" w:rsidP="00BB46A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0;margin-top:6.25pt;width:449.45pt;height:23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">
                <v:textbox>
                  <w:txbxContent>
                    <w:p w:rsidR="00BB46A6" w:rsidRPr="002F0881" w:rsidRDefault="00BB46A6" w:rsidP="00BB46A6">
                      <w:pPr>
                        <w:pStyle w:val="NoSpacing"/>
                        <w:ind w:left="360"/>
                      </w:pPr>
                    </w:p>
                    <w:p w:rsidR="00BB46A6" w:rsidRDefault="00BB46A6" w:rsidP="00BB46A6">
                      <w:pPr>
                        <w:ind w:left="5760" w:firstLine="720"/>
                      </w:pPr>
                    </w:p>
                  </w:txbxContent>
                </v:textbox>
              </v:shape>
            </w:pict>
          </mc:Fallback>
        </mc:AlternateContent>
      </w:r>
      <w:r>
        <w:rPr>
          <w:lang w:val="pl-PL"/>
        </w:rPr>
        <w:t xml:space="preserve">                                                         </w:t>
      </w:r>
      <w:r>
        <w:rPr>
          <w:lang w:val="pl-PL"/>
        </w:rPr>
        <w:tab/>
      </w:r>
      <w:r>
        <w:rPr>
          <w:lang w:val="pl-PL"/>
        </w:rPr>
        <w:tab/>
      </w:r>
      <w:r>
        <w:rPr>
          <w:lang w:val="pl-PL"/>
        </w:rPr>
        <w:tab/>
      </w:r>
      <w:r>
        <w:rPr>
          <w:lang w:val="pl-PL"/>
        </w:rPr>
        <w:tab/>
      </w:r>
      <w:r>
        <w:rPr>
          <w:lang w:val="pl-PL"/>
        </w:rPr>
        <w:tab/>
      </w:r>
      <w:r>
        <w:rPr>
          <w:lang w:val="pl-PL"/>
        </w:rPr>
        <w:tab/>
      </w:r>
      <w:r>
        <w:rPr>
          <w:lang w:val="pl-PL"/>
        </w:rPr>
        <w:tab/>
      </w:r>
    </w:p>
    <w:p w:rsidR="00BB46A6" w:rsidRDefault="00BB46A6" w:rsidP="00BB46A6">
      <w:pPr>
        <w:pStyle w:val="NoSpacing"/>
        <w:ind w:left="7920"/>
        <w:rPr>
          <w:lang w:val="pl-PL"/>
        </w:rPr>
      </w:pPr>
      <w:r>
        <w:rPr>
          <w:rFonts w:cs="Calibri"/>
          <w:noProof/>
          <w:sz w:val="28"/>
          <w:szCs w:val="28"/>
        </w:rPr>
        <mc:AlternateContent>
          <mc:Choice Requires="wps">
            <w:drawing>
              <wp:anchor distT="0" distB="0" distL="114300" distR="114300" simplePos="0" relativeHeight="251667456" behindDoc="0" locked="0" layoutInCell="1" allowOverlap="1" wp14:anchorId="082C2386" wp14:editId="205B7711">
                <wp:simplePos x="0" y="0"/>
                <wp:positionH relativeFrom="column">
                  <wp:posOffset>65405</wp:posOffset>
                </wp:positionH>
                <wp:positionV relativeFrom="paragraph">
                  <wp:posOffset>81280</wp:posOffset>
                </wp:positionV>
                <wp:extent cx="4392295" cy="2549525"/>
                <wp:effectExtent l="0" t="0" r="27305" b="15875"/>
                <wp:wrapThrough wrapText="bothSides">
                  <wp:wrapPolygon edited="0">
                    <wp:start x="0" y="0"/>
                    <wp:lineTo x="0" y="21519"/>
                    <wp:lineTo x="21609" y="21519"/>
                    <wp:lineTo x="21609" y="0"/>
                    <wp:lineTo x="0" y="0"/>
                  </wp:wrapPolygon>
                </wp:wrapThrough>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2549525"/>
                        </a:xfrm>
                        <a:prstGeom prst="rect">
                          <a:avLst/>
                        </a:prstGeom>
                        <a:solidFill>
                          <a:srgbClr val="FFFFFF"/>
                        </a:solidFill>
                        <a:ln w="9525">
                          <a:solidFill>
                            <a:srgbClr val="000000"/>
                          </a:solidFill>
                          <a:miter lim="800000"/>
                          <a:headEnd/>
                          <a:tailEnd/>
                        </a:ln>
                      </wps:spPr>
                      <wps:txbx>
                        <w:txbxContent>
                          <w:p w:rsidR="00BB46A6" w:rsidRDefault="00BB46A6" w:rsidP="00BB46A6">
                            <w:pPr>
                              <w:pStyle w:val="NoSpacing"/>
                              <w:rPr>
                                <w:rFonts w:cs="Arial"/>
                              </w:rPr>
                            </w:pPr>
                            <w:r>
                              <w:rPr>
                                <w:rFonts w:cs="Arial"/>
                              </w:rPr>
                              <w:t xml:space="preserve">This detailed report provides a country-level examination of the global tobacco epidemic. It identifies countries that have applied measures for reducing tobacco use, and it focuses on enforcing bans on tobacco advertising, promotion, and sponsorship (TAPS). The work provides updates on what countries have enforced these bans, and it also discusses what work still needs to be done. </w:t>
                            </w:r>
                          </w:p>
                          <w:p w:rsidR="00BB46A6" w:rsidRPr="00667EEF" w:rsidRDefault="00BB46A6" w:rsidP="00BB46A6">
                            <w:pPr>
                              <w:pStyle w:val="NoSpacing"/>
                              <w:rPr>
                                <w:rFonts w:cs="Arial"/>
                              </w:rPr>
                            </w:pPr>
                            <w:r w:rsidRPr="008B2D7E">
                              <w:rPr>
                                <w:rFonts w:cs="Arial"/>
                                <w:i/>
                              </w:rPr>
                              <w:t>Page 46:</w:t>
                            </w:r>
                            <w:r>
                              <w:rPr>
                                <w:rFonts w:cs="Arial"/>
                              </w:rPr>
                              <w:t xml:space="preserve"> This page highlights the achievements of Turkey in tobacco control. It discusses how Turkey has addressed all aspects of the MPOWER model, and there is a graph showing their decline in smoking prevalence after comprehensive tobacco control was put in place. </w:t>
                            </w:r>
                          </w:p>
                          <w:p w:rsidR="00BB46A6" w:rsidRPr="009A1D03" w:rsidRDefault="00BB46A6" w:rsidP="00BB46A6">
                            <w:pPr>
                              <w:pStyle w:val="NoSpacing"/>
                              <w:rPr>
                                <w:rFonts w:cs="Arial"/>
                              </w:rPr>
                            </w:pPr>
                            <w:r w:rsidRPr="00B45ECE">
                              <w:rPr>
                                <w:rFonts w:cs="Arial"/>
                                <w:i/>
                              </w:rPr>
                              <w:t>Pages 70-76:</w:t>
                            </w:r>
                            <w:r>
                              <w:rPr>
                                <w:rFonts w:cs="Arial"/>
                              </w:rPr>
                              <w:t xml:space="preserve"> These pages discuss the number of countries with comprehensive bans on tobacco control, including both direct and indirect bans. There are also updates on the achievements of certain countries, such as Ghana, India, and Iran.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5.15pt;margin-top:6.4pt;width:345.85pt;height:200.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">
                <v:textbox>
                  <w:txbxContent>
                    <w:p w:rsidR="00BB46A6" w:rsidRDefault="00BB46A6" w:rsidP="00BB46A6">
                      <w:pPr>
                        <w:pStyle w:val="NoSpacing"/>
                        <w:rPr>
                          <w:rFonts w:cs="Arial"/>
                        </w:rPr>
                      </w:pPr>
                      <w:r>
                        <w:rPr>
                          <w:rFonts w:cs="Arial"/>
                        </w:rPr>
                        <w:t xml:space="preserve">This detailed report provides a country-level examination of the global tobacco epidemic. It identifies countries that have applied measures for reducing tobacco use, and it focuses on enforcing bans on tobacco advertising, promotion, and sponsorship (TAPS). The work provides updates on what countries have enforced these bans, and it also discusses what work still needs to be done. </w:t>
                      </w:r>
                    </w:p>
                    <w:p w:rsidR="00BB46A6" w:rsidRPr="00667EEF" w:rsidRDefault="00BB46A6" w:rsidP="00BB46A6">
                      <w:pPr>
                        <w:pStyle w:val="NoSpacing"/>
                        <w:rPr>
                          <w:rFonts w:cs="Arial"/>
                        </w:rPr>
                      </w:pPr>
                      <w:r w:rsidRPr="008B2D7E">
                        <w:rPr>
                          <w:rFonts w:cs="Arial"/>
                          <w:i/>
                        </w:rPr>
                        <w:t>Page 46:</w:t>
                      </w:r>
                      <w:r>
                        <w:rPr>
                          <w:rFonts w:cs="Arial"/>
                        </w:rPr>
                        <w:t xml:space="preserve"> This page highlights the achievements of Turkey in tobacco control. It discusses how Turkey has addressed all aspects of the MPOWER model, and there is a graph showing their decline in smoking prevalence after comprehensive tobacco control was put in place. </w:t>
                      </w:r>
                    </w:p>
                    <w:p w:rsidR="00BB46A6" w:rsidRPr="009A1D03" w:rsidRDefault="00BB46A6" w:rsidP="00BB46A6">
                      <w:pPr>
                        <w:pStyle w:val="NoSpacing"/>
                        <w:rPr>
                          <w:rFonts w:cs="Arial"/>
                        </w:rPr>
                      </w:pPr>
                      <w:r w:rsidRPr="00B45ECE">
                        <w:rPr>
                          <w:rFonts w:cs="Arial"/>
                          <w:i/>
                        </w:rPr>
                        <w:t>Pages 70-76:</w:t>
                      </w:r>
                      <w:r>
                        <w:rPr>
                          <w:rFonts w:cs="Arial"/>
                        </w:rPr>
                        <w:t xml:space="preserve"> These pages discuss the number of countries with comprehensive bans on tobacco control, including both direct and indirect bans. There are also updates on the achievements of certain countries, such as Ghana, India, and Iran. </w:t>
                      </w:r>
                    </w:p>
                  </w:txbxContent>
                </v:textbox>
                <w10:wrap type="through"/>
              </v:shape>
            </w:pict>
          </mc:Fallback>
        </mc:AlternateContent>
      </w:r>
    </w:p>
    <w:p w:rsidR="00BB46A6" w:rsidRDefault="00BB46A6" w:rsidP="00BB46A6">
      <w:pPr>
        <w:pStyle w:val="NoSpacing"/>
        <w:ind w:left="7920"/>
        <w:rPr>
          <w:lang w:val="pl-PL"/>
        </w:rPr>
      </w:pPr>
    </w:p>
    <w:p w:rsidR="00BB46A6" w:rsidRDefault="00BB46A6" w:rsidP="00BB46A6">
      <w:pPr>
        <w:pStyle w:val="NoSpacing"/>
        <w:ind w:left="7920"/>
        <w:rPr>
          <w:lang w:val="pl-PL"/>
        </w:rPr>
      </w:pPr>
    </w:p>
    <w:p w:rsidR="00BB46A6" w:rsidRDefault="00BB46A6" w:rsidP="00BB46A6">
      <w:pPr>
        <w:pStyle w:val="NoSpacing"/>
        <w:rPr>
          <w:lang w:val="pl-PL"/>
        </w:rPr>
      </w:pPr>
      <w:r>
        <w:rPr>
          <w:noProof/>
        </w:rPr>
        <w:drawing>
          <wp:inline distT="0" distB="0" distL="0" distR="0" wp14:anchorId="6FF3812B" wp14:editId="6BAF3F16">
            <wp:extent cx="998046" cy="1405550"/>
            <wp:effectExtent l="0" t="0" r="0" b="0"/>
            <wp:docPr id="15" name="Picture 15" descr="Macintosh HD:Users:Shannon:Desktop:Screen Shot 2013-11-24 at 8.25.08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Shannon:Desktop:Screen Shot 2013-11-24 at 8.25.08 PM.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98516" cy="1406212"/>
                    </a:xfrm>
                    <a:prstGeom prst="rect">
                      <a:avLst/>
                    </a:prstGeom>
                    <a:noFill/>
                    <a:ln>
                      <a:noFill/>
                    </a:ln>
                  </pic:spPr>
                </pic:pic>
              </a:graphicData>
            </a:graphic>
          </wp:inline>
        </w:drawing>
      </w:r>
    </w:p>
    <w:p w:rsidR="00BB46A6" w:rsidRPr="00FA419F" w:rsidRDefault="00BB46A6" w:rsidP="00BB46A6">
      <w:pPr>
        <w:pStyle w:val="NoSpacing"/>
      </w:pPr>
    </w:p>
    <w:p w:rsidR="00BB46A6" w:rsidRDefault="00BB46A6" w:rsidP="00BB46A6">
      <w:pPr>
        <w:rPr>
          <w:b/>
        </w:rPr>
      </w:pPr>
    </w:p>
    <w:p w:rsidR="006074C8" w:rsidRDefault="00285D18"/>
    <w:sectPr w:rsidR="006074C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5D18" w:rsidRDefault="00285D18" w:rsidP="00BB46A6">
      <w:pPr>
        <w:spacing w:after="0" w:line="240" w:lineRule="auto"/>
      </w:pPr>
      <w:r>
        <w:separator/>
      </w:r>
    </w:p>
  </w:endnote>
  <w:endnote w:type="continuationSeparator" w:id="0">
    <w:p w:rsidR="00285D18" w:rsidRDefault="00285D18" w:rsidP="00BB46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êêÙøœÒ‹">
    <w:altName w:val="Cambria"/>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DBE" w:rsidRDefault="007E6ED3">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Executive Fact Sheet &amp; Talking Points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3A1518" w:rsidRPr="003A1518">
      <w:rPr>
        <w:rFonts w:asciiTheme="majorHAnsi" w:eastAsiaTheme="majorEastAsia" w:hAnsiTheme="majorHAnsi" w:cstheme="majorBidi"/>
        <w:noProof/>
      </w:rPr>
      <w:t>1</w:t>
    </w:r>
    <w:r>
      <w:rPr>
        <w:rFonts w:asciiTheme="majorHAnsi" w:eastAsiaTheme="majorEastAsia" w:hAnsiTheme="majorHAnsi" w:cstheme="majorBidi"/>
        <w:noProof/>
      </w:rPr>
      <w:fldChar w:fldCharType="end"/>
    </w:r>
  </w:p>
  <w:p w:rsidR="008E3DBE" w:rsidRDefault="00285D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5D18" w:rsidRDefault="00285D18" w:rsidP="00BB46A6">
      <w:pPr>
        <w:spacing w:after="0" w:line="240" w:lineRule="auto"/>
      </w:pPr>
      <w:r>
        <w:separator/>
      </w:r>
    </w:p>
  </w:footnote>
  <w:footnote w:type="continuationSeparator" w:id="0">
    <w:p w:rsidR="00285D18" w:rsidRDefault="00285D18" w:rsidP="00BB46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cs="êêÙøœÒ‹"/>
        <w:b/>
        <w:color w:val="333333"/>
        <w:sz w:val="50"/>
        <w:szCs w:val="50"/>
      </w:rPr>
      <w:alias w:val="Title"/>
      <w:id w:val="-557936597"/>
      <w:dataBinding w:prefixMappings="xmlns:ns0='http://schemas.openxmlformats.org/package/2006/metadata/core-properties' xmlns:ns1='http://purl.org/dc/elements/1.1/'" w:xpath="/ns0:coreProperties[1]/ns1:title[1]" w:storeItemID="{6C3C8BC8-F283-45AE-878A-BAB7291924A1}"/>
      <w:text/>
    </w:sdtPr>
    <w:sdtEndPr/>
    <w:sdtContent>
      <w:p w:rsidR="008E3DBE" w:rsidRPr="00BB46A6" w:rsidRDefault="003A1518" w:rsidP="00BB46A6">
        <w:pPr>
          <w:pStyle w:val="Header"/>
          <w:pBdr>
            <w:bottom w:val="thickThinSmallGap" w:sz="24" w:space="1" w:color="622423" w:themeColor="accent2" w:themeShade="7F"/>
          </w:pBdr>
          <w:jc w:val="center"/>
          <w:rPr>
            <w:rFonts w:eastAsiaTheme="majorEastAsia" w:cstheme="majorBidi"/>
            <w:sz w:val="50"/>
            <w:szCs w:val="50"/>
          </w:rPr>
        </w:pPr>
        <w:r>
          <w:rPr>
            <w:rFonts w:cs="êêÙøœÒ‹"/>
            <w:b/>
            <w:color w:val="333333"/>
            <w:sz w:val="50"/>
            <w:szCs w:val="50"/>
          </w:rPr>
          <w:t xml:space="preserve">Additional </w:t>
        </w:r>
        <w:r w:rsidR="00BB46A6" w:rsidRPr="00BB46A6">
          <w:rPr>
            <w:rFonts w:cs="êêÙøœÒ‹"/>
            <w:b/>
            <w:color w:val="333333"/>
            <w:sz w:val="50"/>
            <w:szCs w:val="50"/>
          </w:rPr>
          <w:t>Resources for Bann</w:t>
        </w:r>
        <w:r w:rsidR="00BB46A6">
          <w:rPr>
            <w:rFonts w:cs="êêÙøœÒ‹"/>
            <w:b/>
            <w:color w:val="333333"/>
            <w:sz w:val="50"/>
            <w:szCs w:val="50"/>
          </w:rPr>
          <w:t>ing Forms of Tobacco Advertising</w: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46A6"/>
    <w:rsid w:val="001573E4"/>
    <w:rsid w:val="0016719E"/>
    <w:rsid w:val="00285D18"/>
    <w:rsid w:val="003A1518"/>
    <w:rsid w:val="007E6ED3"/>
    <w:rsid w:val="007F619C"/>
    <w:rsid w:val="00857ACB"/>
    <w:rsid w:val="00BB4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6A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6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46A6"/>
  </w:style>
  <w:style w:type="paragraph" w:styleId="Footer">
    <w:name w:val="footer"/>
    <w:basedOn w:val="Normal"/>
    <w:link w:val="FooterChar"/>
    <w:uiPriority w:val="99"/>
    <w:unhideWhenUsed/>
    <w:rsid w:val="00BB46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46A6"/>
  </w:style>
  <w:style w:type="character" w:styleId="Hyperlink">
    <w:name w:val="Hyperlink"/>
    <w:basedOn w:val="DefaultParagraphFont"/>
    <w:uiPriority w:val="99"/>
    <w:unhideWhenUsed/>
    <w:rsid w:val="00BB46A6"/>
    <w:rPr>
      <w:color w:val="0000FF" w:themeColor="hyperlink"/>
      <w:u w:val="single"/>
    </w:rPr>
  </w:style>
  <w:style w:type="paragraph" w:styleId="NoSpacing">
    <w:name w:val="No Spacing"/>
    <w:uiPriority w:val="99"/>
    <w:qFormat/>
    <w:rsid w:val="00BB46A6"/>
    <w:pPr>
      <w:spacing w:after="0" w:line="240" w:lineRule="auto"/>
    </w:pPr>
  </w:style>
  <w:style w:type="paragraph" w:styleId="BalloonText">
    <w:name w:val="Balloon Text"/>
    <w:basedOn w:val="Normal"/>
    <w:link w:val="BalloonTextChar"/>
    <w:uiPriority w:val="99"/>
    <w:semiHidden/>
    <w:unhideWhenUsed/>
    <w:rsid w:val="00BB46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46A6"/>
    <w:rPr>
      <w:rFonts w:ascii="Tahoma" w:hAnsi="Tahoma" w:cs="Tahoma"/>
      <w:sz w:val="16"/>
      <w:szCs w:val="16"/>
    </w:rPr>
  </w:style>
  <w:style w:type="character" w:styleId="FollowedHyperlink">
    <w:name w:val="FollowedHyperlink"/>
    <w:basedOn w:val="DefaultParagraphFont"/>
    <w:uiPriority w:val="99"/>
    <w:semiHidden/>
    <w:unhideWhenUsed/>
    <w:rsid w:val="00BB46A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6A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6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46A6"/>
  </w:style>
  <w:style w:type="paragraph" w:styleId="Footer">
    <w:name w:val="footer"/>
    <w:basedOn w:val="Normal"/>
    <w:link w:val="FooterChar"/>
    <w:uiPriority w:val="99"/>
    <w:unhideWhenUsed/>
    <w:rsid w:val="00BB46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46A6"/>
  </w:style>
  <w:style w:type="character" w:styleId="Hyperlink">
    <w:name w:val="Hyperlink"/>
    <w:basedOn w:val="DefaultParagraphFont"/>
    <w:uiPriority w:val="99"/>
    <w:unhideWhenUsed/>
    <w:rsid w:val="00BB46A6"/>
    <w:rPr>
      <w:color w:val="0000FF" w:themeColor="hyperlink"/>
      <w:u w:val="single"/>
    </w:rPr>
  </w:style>
  <w:style w:type="paragraph" w:styleId="NoSpacing">
    <w:name w:val="No Spacing"/>
    <w:uiPriority w:val="99"/>
    <w:qFormat/>
    <w:rsid w:val="00BB46A6"/>
    <w:pPr>
      <w:spacing w:after="0" w:line="240" w:lineRule="auto"/>
    </w:pPr>
  </w:style>
  <w:style w:type="paragraph" w:styleId="BalloonText">
    <w:name w:val="Balloon Text"/>
    <w:basedOn w:val="Normal"/>
    <w:link w:val="BalloonTextChar"/>
    <w:uiPriority w:val="99"/>
    <w:semiHidden/>
    <w:unhideWhenUsed/>
    <w:rsid w:val="00BB46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46A6"/>
    <w:rPr>
      <w:rFonts w:ascii="Tahoma" w:hAnsi="Tahoma" w:cs="Tahoma"/>
      <w:sz w:val="16"/>
      <w:szCs w:val="16"/>
    </w:rPr>
  </w:style>
  <w:style w:type="character" w:styleId="FollowedHyperlink">
    <w:name w:val="FollowedHyperlink"/>
    <w:basedOn w:val="DefaultParagraphFont"/>
    <w:uiPriority w:val="99"/>
    <w:semiHidden/>
    <w:unhideWhenUsed/>
    <w:rsid w:val="00BB46A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who.int/tobacco/mpower/mpower_english.pdf" TargetMode="External"/><Relationship Id="rId18" Type="http://schemas.openxmlformats.org/officeDocument/2006/relationships/hyperlink" Target="http://www.who.int/fctc/guidelines/article_13.pdf"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www.guamcancerresearch.org/Runtime/uploads/PSCApril2013/day1/Pilot_Program_I_Outreach.pdf" TargetMode="External"/><Relationship Id="rId12" Type="http://schemas.openxmlformats.org/officeDocument/2006/relationships/hyperlink" Target="http://www.who.int/tobacco/mpower/mpower_english.pdf" TargetMode="External"/><Relationship Id="rId17" Type="http://schemas.openxmlformats.org/officeDocument/2006/relationships/hyperlink" Target="http://www.who.int/fctc/guidelines/article_13.pdf"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3.emf"/><Relationship Id="rId20" Type="http://schemas.openxmlformats.org/officeDocument/2006/relationships/image" Target="media/image4.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who.int/tobacco/mpower/mpower_english.pdf" TargetMode="External"/><Relationship Id="rId24"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http://www.who.int/fctc/guidelines/article_13.pdf" TargetMode="External"/><Relationship Id="rId23" Type="http://schemas.openxmlformats.org/officeDocument/2006/relationships/hyperlink" Target="http://apps.who.int/iris/bitstream/10665/85380/1/9789241505871_eng.pdf" TargetMode="External"/><Relationship Id="rId10" Type="http://schemas.openxmlformats.org/officeDocument/2006/relationships/hyperlink" Target="http://www.who.int/tobacco/mpower/mpower_english.pdf" TargetMode="External"/><Relationship Id="rId19" Type="http://schemas.openxmlformats.org/officeDocument/2006/relationships/hyperlink" Target="http://www.who.int/features/2013/australia_tobacco_packaging/en/" TargetMode="External"/><Relationship Id="rId4" Type="http://schemas.openxmlformats.org/officeDocument/2006/relationships/webSettings" Target="webSettings.xml"/><Relationship Id="rId9" Type="http://schemas.openxmlformats.org/officeDocument/2006/relationships/hyperlink" Target="http://www.who.int/tobacco/mpower/mpower_english.pdf" TargetMode="External"/><Relationship Id="rId14" Type="http://schemas.openxmlformats.org/officeDocument/2006/relationships/image" Target="media/image2.emf"/><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242</Words>
  <Characters>1381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Additional Resources for Banning Forms of Tobacco Advertising</vt:lpstr>
    </vt:vector>
  </TitlesOfParts>
  <Company>Toshiba</Company>
  <LinksUpToDate>false</LinksUpToDate>
  <CharactersWithSpaces>1620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Resources for Banning Forms of Tobacco Advertising</dc:title>
  <dc:creator>nittam</dc:creator>
  <cp:lastModifiedBy>nittam</cp:lastModifiedBy>
  <cp:revision>2</cp:revision>
  <dcterms:created xsi:type="dcterms:W3CDTF">2014-03-10T09:39:00Z</dcterms:created>
  <dcterms:modified xsi:type="dcterms:W3CDTF">2014-03-10T09:39:00Z</dcterms:modified>
</cp:coreProperties>
</file>