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D0F" w:rsidRDefault="00DB2D0F" w:rsidP="00DB2D0F">
      <w:pPr>
        <w:rPr>
          <w:rFonts w:ascii="Calibri" w:hAnsi="Calibri" w:cs="Calibri"/>
          <w:szCs w:val="22"/>
        </w:rPr>
      </w:pPr>
      <w:r w:rsidRPr="00F46B22">
        <w:rPr>
          <w:rFonts w:ascii="Calibri" w:hAnsi="Calibri" w:cs="Calibri"/>
          <w:b/>
          <w:sz w:val="24"/>
          <w:szCs w:val="24"/>
        </w:rPr>
        <w:t>Taxing Sugar Drinks: A Tool for Obesity Prevention, Cos</w:t>
      </w:r>
      <w:r>
        <w:rPr>
          <w:rFonts w:ascii="Calibri" w:hAnsi="Calibri" w:cs="Calibri"/>
          <w:b/>
          <w:sz w:val="24"/>
          <w:szCs w:val="24"/>
        </w:rPr>
        <w:t xml:space="preserve">t Saving and Health Improvement </w:t>
      </w:r>
      <w:r w:rsidRPr="00980768">
        <w:rPr>
          <w:rFonts w:ascii="Calibri" w:hAnsi="Calibri" w:cs="Calibri"/>
          <w:szCs w:val="22"/>
        </w:rPr>
        <w:t>by</w:t>
      </w:r>
      <w:r>
        <w:rPr>
          <w:rFonts w:ascii="Calibri" w:hAnsi="Calibri" w:cs="Calibri"/>
          <w:szCs w:val="22"/>
        </w:rPr>
        <w:t xml:space="preserve"> Public Health Law Center. Published 2011. </w:t>
      </w:r>
      <w:hyperlink r:id="rId8" w:history="1">
        <w:r w:rsidRPr="00D15C80">
          <w:rPr>
            <w:rStyle w:val="Hyperlink"/>
            <w:rFonts w:ascii="Calibri" w:hAnsi="Calibri" w:cs="Calibri"/>
            <w:szCs w:val="22"/>
          </w:rPr>
          <w:t>http://publichealthlawcenter.org/sites/default/files/resources/Taxing%20Sugar_Drinks_Public%20Health%20Law%20Center%20%20May%202011.pdf</w:t>
        </w:r>
      </w:hyperlink>
      <w:r>
        <w:rPr>
          <w:rFonts w:ascii="Calibri" w:hAnsi="Calibri" w:cs="Calibri"/>
          <w:szCs w:val="22"/>
        </w:rPr>
        <w:t xml:space="preserve"> </w:t>
      </w:r>
    </w:p>
    <w:p w:rsidR="00DB2D0F" w:rsidRPr="00F46B22" w:rsidRDefault="00DB2D0F" w:rsidP="00DB2D0F">
      <w:pPr>
        <w:pStyle w:val="NoSpacing"/>
        <w:rPr>
          <w:rFonts w:cs="Calibri"/>
        </w:rPr>
      </w:pPr>
      <w:r>
        <w:rPr>
          <w:rFonts w:cs="Calibri"/>
          <w:noProof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3C7A82" wp14:editId="78348E09">
                <wp:simplePos x="0" y="0"/>
                <wp:positionH relativeFrom="column">
                  <wp:posOffset>230505</wp:posOffset>
                </wp:positionH>
                <wp:positionV relativeFrom="paragraph">
                  <wp:posOffset>135890</wp:posOffset>
                </wp:positionV>
                <wp:extent cx="3926840" cy="2038350"/>
                <wp:effectExtent l="1905" t="0" r="8255" b="10160"/>
                <wp:wrapNone/>
                <wp:docPr id="55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26840" cy="2038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98408B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98408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The toolkit gives information on the Obesity Epidemic and impact on society and health. </w:t>
                            </w:r>
                          </w:p>
                          <w:p w:rsidR="00DB2D0F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98408B"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>Page 8:</w:t>
                            </w:r>
                            <w:r w:rsidRPr="0098408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Policy considerations</w:t>
                            </w:r>
                          </w:p>
                          <w:p w:rsidR="00DB2D0F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9" w:anchor="page=8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http://publichealthlawcenter.org/sites/default/files/resources/Taxing%20Sugar_Drinks_Public%20Health%20Law%20Center%20%20May%202011.pdf#page=8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</w:t>
                            </w:r>
                          </w:p>
                          <w:p w:rsidR="00DB2D0F" w:rsidRPr="0098408B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98408B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98408B"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>Page 9:</w:t>
                            </w:r>
                            <w:r w:rsidRPr="0098408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Regulatory fees and Sales tax</w:t>
                            </w:r>
                          </w:p>
                          <w:p w:rsidR="00DB2D0F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10" w:anchor="page=9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http://publichealthlawcenter.org/sites/default/files/resources/Taxing%20Sugar_Drinks_Public%20Health%20Law%20Center%20%20May%202011.pdf#page=9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</w:t>
                            </w:r>
                          </w:p>
                          <w:p w:rsidR="00DB2D0F" w:rsidRPr="009A1D03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0D669D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Pr="0064060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.15pt;margin-top:10.7pt;width:309.2pt;height:16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">
                <v:textbox>
                  <w:txbxContent>
                    <w:p w:rsidR="00DB2D0F" w:rsidRPr="0098408B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98408B">
                        <w:rPr>
                          <w:rFonts w:cs="Arial"/>
                          <w:position w:val="0"/>
                          <w:lang w:eastAsia="en-US"/>
                        </w:rPr>
                        <w:t xml:space="preserve">The toolkit gives information on the Obesity Epidemic and impact on society and health. </w:t>
                      </w:r>
                    </w:p>
                    <w:p w:rsidR="00DB2D0F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98408B"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>Page 8:</w:t>
                      </w:r>
                      <w:r w:rsidRPr="0098408B">
                        <w:rPr>
                          <w:rFonts w:cs="Arial"/>
                          <w:position w:val="0"/>
                          <w:lang w:eastAsia="en-US"/>
                        </w:rPr>
                        <w:t xml:space="preserve"> Policy considerations</w:t>
                      </w:r>
                    </w:p>
                    <w:p w:rsidR="00DB2D0F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11" w:anchor="page=8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http://publichealthlawcenter.org/sites/default/files/resources/Taxing%20Sugar_Drinks_Public%20Health%20Law%20Center%20%20May%202011.pdf#page=8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 </w:t>
                      </w:r>
                    </w:p>
                    <w:p w:rsidR="00DB2D0F" w:rsidRPr="0098408B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98408B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98408B"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>Page 9:</w:t>
                      </w:r>
                      <w:r w:rsidRPr="0098408B">
                        <w:rPr>
                          <w:rFonts w:cs="Arial"/>
                          <w:position w:val="0"/>
                          <w:lang w:eastAsia="en-US"/>
                        </w:rPr>
                        <w:t xml:space="preserve"> Regulatory fees and Sales tax</w:t>
                      </w:r>
                    </w:p>
                    <w:p w:rsidR="00DB2D0F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12" w:anchor="page=9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http://publichealthlawcenter.org/sites/default/files/resources/Taxing%20Sugar_Drinks_Public%20Health%20Law%20Center%20%20May%202011.pdf#page=9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 </w:t>
                      </w:r>
                    </w:p>
                    <w:p w:rsidR="00DB2D0F" w:rsidRPr="009A1D03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0D669D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Pr="0064060B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339F40C" wp14:editId="31541EBE">
                <wp:simplePos x="0" y="0"/>
                <wp:positionH relativeFrom="column">
                  <wp:posOffset>106045</wp:posOffset>
                </wp:positionH>
                <wp:positionV relativeFrom="paragraph">
                  <wp:posOffset>27305</wp:posOffset>
                </wp:positionV>
                <wp:extent cx="5708015" cy="2284730"/>
                <wp:effectExtent l="4445" t="1905" r="15240" b="12065"/>
                <wp:wrapNone/>
                <wp:docPr id="55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2284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2F0881" w:rsidRDefault="00DB2D0F" w:rsidP="00DB2D0F">
                            <w:pPr>
                              <w:pStyle w:val="NoSpacing"/>
                              <w:ind w:left="360"/>
                            </w:pPr>
                          </w:p>
                          <w:p w:rsidR="00DB2D0F" w:rsidRDefault="00DB2D0F" w:rsidP="00DB2D0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8.35pt;margin-top:2.15pt;width:449.45pt;height:179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">
                <v:textbox>
                  <w:txbxContent>
                    <w:p w:rsidR="00DB2D0F" w:rsidRPr="002F0881" w:rsidRDefault="00DB2D0F" w:rsidP="00DB2D0F">
                      <w:pPr>
                        <w:pStyle w:val="NoSpacing"/>
                        <w:ind w:left="360"/>
                      </w:pPr>
                    </w:p>
                    <w:p w:rsidR="00DB2D0F" w:rsidRDefault="00DB2D0F" w:rsidP="00DB2D0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</w:p>
    <w:p w:rsidR="00DB2D0F" w:rsidRDefault="00DB2D0F" w:rsidP="00DB2D0F">
      <w:pPr>
        <w:rPr>
          <w:rFonts w:ascii="Calibri" w:hAnsi="Calibri" w:cs="Calibri"/>
          <w:szCs w:val="22"/>
        </w:rPr>
      </w:pPr>
      <w:r>
        <w:rPr>
          <w:noProof/>
          <w:lang w:eastAsia="en-US"/>
        </w:rPr>
        <w:drawing>
          <wp:anchor distT="0" distB="0" distL="114300" distR="114300" simplePos="0" relativeHeight="251661312" behindDoc="0" locked="0" layoutInCell="1" allowOverlap="1" wp14:anchorId="032C2336" wp14:editId="4F4F8D55">
            <wp:simplePos x="0" y="0"/>
            <wp:positionH relativeFrom="column">
              <wp:posOffset>4350385</wp:posOffset>
            </wp:positionH>
            <wp:positionV relativeFrom="paragraph">
              <wp:posOffset>139065</wp:posOffset>
            </wp:positionV>
            <wp:extent cx="1254760" cy="1637665"/>
            <wp:effectExtent l="25400" t="25400" r="15240" b="13335"/>
            <wp:wrapNone/>
            <wp:docPr id="3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4760" cy="163766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2D0F" w:rsidRDefault="00DB2D0F" w:rsidP="00DB2D0F">
      <w:pPr>
        <w:pStyle w:val="NoSpacing"/>
        <w:rPr>
          <w:rFonts w:cs="Calibri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pStyle w:val="NoSpacing"/>
        <w:rPr>
          <w:rFonts w:cs="Calibri"/>
          <w:szCs w:val="22"/>
        </w:rPr>
      </w:pPr>
      <w:proofErr w:type="gramStart"/>
      <w:r>
        <w:rPr>
          <w:rFonts w:cs="Calibri"/>
          <w:b/>
          <w:szCs w:val="22"/>
        </w:rPr>
        <w:t xml:space="preserve">The Potential Impact of Sugar-Sweetened Taxes in New York </w:t>
      </w:r>
      <w:r w:rsidRPr="00980768">
        <w:rPr>
          <w:rFonts w:cs="Calibri"/>
          <w:szCs w:val="22"/>
        </w:rPr>
        <w:t>by</w:t>
      </w:r>
      <w:r>
        <w:rPr>
          <w:rFonts w:cs="Calibri"/>
          <w:szCs w:val="22"/>
        </w:rPr>
        <w:t xml:space="preserve"> YC Wang at Columbia University.</w:t>
      </w:r>
      <w:proofErr w:type="gramEnd"/>
      <w:r>
        <w:rPr>
          <w:rFonts w:cs="Calibri"/>
          <w:szCs w:val="22"/>
        </w:rPr>
        <w:t xml:space="preserve">  Published in 2010</w:t>
      </w:r>
      <w:r w:rsidRPr="00980768">
        <w:rPr>
          <w:rFonts w:cs="Calibri"/>
          <w:szCs w:val="22"/>
        </w:rPr>
        <w:t xml:space="preserve">. </w:t>
      </w:r>
      <w:r>
        <w:rPr>
          <w:rFonts w:cs="Calibri"/>
          <w:szCs w:val="22"/>
        </w:rPr>
        <w:t xml:space="preserve"> </w:t>
      </w:r>
    </w:p>
    <w:p w:rsidR="00DB2D0F" w:rsidRPr="00980768" w:rsidRDefault="00EF2BCE" w:rsidP="00DB2D0F">
      <w:pPr>
        <w:spacing w:after="0" w:line="240" w:lineRule="auto"/>
        <w:rPr>
          <w:rFonts w:ascii="Calibri" w:hAnsi="Calibri" w:cs="Calibri"/>
          <w:szCs w:val="22"/>
        </w:rPr>
      </w:pPr>
      <w:hyperlink r:id="rId14" w:history="1">
        <w:r w:rsidR="00DB2D0F" w:rsidRPr="00D15C80">
          <w:rPr>
            <w:rStyle w:val="Hyperlink"/>
            <w:rFonts w:ascii="Calibri" w:hAnsi="Calibri" w:cs="Calibri"/>
          </w:rPr>
          <w:t>http://www.columbia.edu/~ycw2102/SSB%20tax%20brief%20Wang%202010%2006%2021%20_Final_.pdf</w:t>
        </w:r>
      </w:hyperlink>
      <w:r w:rsidR="00DB2D0F">
        <w:rPr>
          <w:rFonts w:ascii="Calibri" w:hAnsi="Calibri" w:cs="Calibri"/>
        </w:rPr>
        <w:t xml:space="preserve"> </w:t>
      </w:r>
    </w:p>
    <w:p w:rsidR="00DB2D0F" w:rsidRPr="00F46B22" w:rsidRDefault="00DB2D0F" w:rsidP="00DB2D0F">
      <w:pPr>
        <w:pStyle w:val="NoSpacing"/>
        <w:rPr>
          <w:rFonts w:cs="Calibri"/>
        </w:rPr>
      </w:pPr>
      <w:r>
        <w:rPr>
          <w:rFonts w:cs="Arial"/>
          <w:noProof/>
          <w:position w:val="0"/>
          <w:lang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EDD0FF" wp14:editId="73778C51">
                <wp:simplePos x="0" y="0"/>
                <wp:positionH relativeFrom="column">
                  <wp:posOffset>230505</wp:posOffset>
                </wp:positionH>
                <wp:positionV relativeFrom="paragraph">
                  <wp:posOffset>160020</wp:posOffset>
                </wp:positionV>
                <wp:extent cx="4260215" cy="1816735"/>
                <wp:effectExtent l="1905" t="0" r="17780" b="17145"/>
                <wp:wrapNone/>
                <wp:docPr id="55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0215" cy="1816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98408B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98408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The report gives a background on sugar-sweetened beverages (SSBs) and Health.  Included are trends of SSBs in the US and a history of state SSB taxes.  </w:t>
                            </w:r>
                          </w:p>
                          <w:p w:rsidR="00DB2D0F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98408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Page 9:  Existing variations of state-level sales tax rates effect on BMI</w:t>
                            </w:r>
                          </w:p>
                          <w:p w:rsidR="00DB2D0F" w:rsidRPr="009A1D03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15" w:anchor="page=9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http://www.columbia.edu/~ycw2102/SSB%20tax%20brief%20Wang%202010%2006%2021%20_Final_.pdf#page=9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 </w:t>
                            </w:r>
                          </w:p>
                          <w:p w:rsidR="00DB2D0F" w:rsidRPr="0098408B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98408B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98408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Page 20: Predicted impact of SSB tax on diabetes risk</w:t>
                            </w:r>
                          </w:p>
                          <w:p w:rsidR="00DB2D0F" w:rsidRPr="009A1D03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16" w:anchor="page=20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http://www.columbia.edu/~ycw2102/SSB%20tax%20brief%20Wang%202010%2006%2021%20_Final_.pdf#page=20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18.15pt;margin-top:12.6pt;width:335.45pt;height:143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">
                <v:textbox>
                  <w:txbxContent>
                    <w:p w:rsidR="00DB2D0F" w:rsidRPr="0098408B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98408B">
                        <w:rPr>
                          <w:rFonts w:cs="Arial"/>
                          <w:position w:val="0"/>
                          <w:lang w:eastAsia="en-US"/>
                        </w:rPr>
                        <w:t xml:space="preserve">The report gives a background on sugar-sweetened beverages (SSBs) and Health.  Included are trends of SSBs in the US and a history of state SSB taxes.  </w:t>
                      </w:r>
                    </w:p>
                    <w:p w:rsidR="00DB2D0F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98408B">
                        <w:rPr>
                          <w:rFonts w:cs="Arial"/>
                          <w:position w:val="0"/>
                          <w:lang w:eastAsia="en-US"/>
                        </w:rPr>
                        <w:t>Page 9:  Existing variations of state-level sales tax rates effect on BMI</w:t>
                      </w:r>
                    </w:p>
                    <w:p w:rsidR="00DB2D0F" w:rsidRPr="009A1D03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17" w:anchor="page=9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http://www.columbia.edu/~ycw2102/SSB%20tax%20brief%20Wang%202010%2006%2021%20_Final_.pdf#page=9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  </w:t>
                      </w:r>
                    </w:p>
                    <w:p w:rsidR="00DB2D0F" w:rsidRPr="0098408B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98408B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98408B">
                        <w:rPr>
                          <w:rFonts w:cs="Arial"/>
                          <w:position w:val="0"/>
                          <w:lang w:eastAsia="en-US"/>
                        </w:rPr>
                        <w:t>Page 20: Predicted impact of SSB tax on diabetes risk</w:t>
                      </w:r>
                    </w:p>
                    <w:p w:rsidR="00DB2D0F" w:rsidRPr="009A1D03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18" w:anchor="page=20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http://www.columbia.edu/~ycw2102/SSB%20tax%20brief%20Wang%202010%2006%2021%20_Final_.pdf#page=20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 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4C4EFCC8" wp14:editId="0D445A27">
                <wp:simplePos x="0" y="0"/>
                <wp:positionH relativeFrom="column">
                  <wp:posOffset>106045</wp:posOffset>
                </wp:positionH>
                <wp:positionV relativeFrom="paragraph">
                  <wp:posOffset>70485</wp:posOffset>
                </wp:positionV>
                <wp:extent cx="5708015" cy="2043430"/>
                <wp:effectExtent l="4445" t="0" r="15240" b="6985"/>
                <wp:wrapNone/>
                <wp:docPr id="55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2043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2F0881" w:rsidRDefault="00DB2D0F" w:rsidP="00DB2D0F">
                            <w:pPr>
                              <w:pStyle w:val="NoSpacing"/>
                              <w:ind w:left="360"/>
                            </w:pPr>
                          </w:p>
                          <w:p w:rsidR="00DB2D0F" w:rsidRDefault="00DB2D0F" w:rsidP="00DB2D0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8.35pt;margin-top:5.55pt;width:449.45pt;height:160.9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">
                <v:textbox>
                  <w:txbxContent>
                    <w:p w:rsidR="00DB2D0F" w:rsidRPr="002F0881" w:rsidRDefault="00DB2D0F" w:rsidP="00DB2D0F">
                      <w:pPr>
                        <w:pStyle w:val="NoSpacing"/>
                        <w:ind w:left="360"/>
                      </w:pPr>
                    </w:p>
                    <w:p w:rsidR="00DB2D0F" w:rsidRDefault="00DB2D0F" w:rsidP="00DB2D0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</w:p>
    <w:p w:rsidR="00DB2D0F" w:rsidRDefault="00DB2D0F" w:rsidP="00DB2D0F">
      <w:pPr>
        <w:rPr>
          <w:rFonts w:ascii="Calibri" w:hAnsi="Calibri" w:cs="Calibri"/>
          <w:szCs w:val="22"/>
        </w:rPr>
      </w:pPr>
      <w:r>
        <w:rPr>
          <w:noProof/>
          <w:lang w:eastAsia="en-US"/>
        </w:rPr>
        <w:drawing>
          <wp:anchor distT="0" distB="0" distL="114300" distR="114300" simplePos="0" relativeHeight="251664384" behindDoc="0" locked="0" layoutInCell="1" allowOverlap="1" wp14:anchorId="12434750" wp14:editId="3A1383EE">
            <wp:simplePos x="0" y="0"/>
            <wp:positionH relativeFrom="column">
              <wp:posOffset>4561205</wp:posOffset>
            </wp:positionH>
            <wp:positionV relativeFrom="paragraph">
              <wp:posOffset>25400</wp:posOffset>
            </wp:positionV>
            <wp:extent cx="1137920" cy="1589405"/>
            <wp:effectExtent l="25400" t="25400" r="30480" b="36195"/>
            <wp:wrapNone/>
            <wp:docPr id="36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920" cy="1589405"/>
                    </a:xfrm>
                    <a:prstGeom prst="rect">
                      <a:avLst/>
                    </a:prstGeom>
                    <a:noFill/>
                    <a:ln w="63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6A42C8" w:rsidRDefault="006A42C8" w:rsidP="00DB2D0F">
      <w:pPr>
        <w:rPr>
          <w:rFonts w:ascii="Calibri" w:hAnsi="Calibri" w:cs="Calibri"/>
          <w:b/>
          <w:sz w:val="32"/>
          <w:szCs w:val="32"/>
        </w:rPr>
      </w:pPr>
    </w:p>
    <w:p w:rsidR="006A42C8" w:rsidRDefault="006A42C8" w:rsidP="00DB2D0F">
      <w:pPr>
        <w:rPr>
          <w:rFonts w:ascii="Calibri" w:hAnsi="Calibri" w:cs="Calibri"/>
          <w:b/>
          <w:sz w:val="32"/>
          <w:szCs w:val="32"/>
        </w:rPr>
      </w:pPr>
    </w:p>
    <w:p w:rsidR="00DB2D0F" w:rsidRPr="006A42C8" w:rsidRDefault="006A42C8" w:rsidP="006A42C8">
      <w:pPr>
        <w:rPr>
          <w:rFonts w:ascii="Calibri" w:hAnsi="Calibri" w:cs="Calibri"/>
          <w:b/>
          <w:sz w:val="24"/>
          <w:szCs w:val="24"/>
        </w:rPr>
      </w:pPr>
      <w:r>
        <w:rPr>
          <w:rFonts w:cs="Calibri"/>
          <w:noProof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2E21E3A8" wp14:editId="65277062">
                <wp:simplePos x="0" y="0"/>
                <wp:positionH relativeFrom="column">
                  <wp:posOffset>106045</wp:posOffset>
                </wp:positionH>
                <wp:positionV relativeFrom="paragraph">
                  <wp:posOffset>800735</wp:posOffset>
                </wp:positionV>
                <wp:extent cx="5708015" cy="2043430"/>
                <wp:effectExtent l="0" t="0" r="26035" b="13970"/>
                <wp:wrapNone/>
                <wp:docPr id="5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2043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2F0881" w:rsidRDefault="00DB2D0F" w:rsidP="00DB2D0F">
                            <w:pPr>
                              <w:pStyle w:val="NoSpacing"/>
                              <w:ind w:left="360"/>
                            </w:pPr>
                          </w:p>
                          <w:p w:rsidR="00DB2D0F" w:rsidRDefault="00DB2D0F" w:rsidP="00DB2D0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8.35pt;margin-top:63.05pt;width:449.45pt;height:160.9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">
                <v:textbox>
                  <w:txbxContent>
                    <w:p w:rsidR="00DB2D0F" w:rsidRPr="002F0881" w:rsidRDefault="00DB2D0F" w:rsidP="00DB2D0F">
                      <w:pPr>
                        <w:pStyle w:val="NoSpacing"/>
                        <w:ind w:left="360"/>
                      </w:pPr>
                    </w:p>
                    <w:p w:rsidR="00DB2D0F" w:rsidRDefault="00DB2D0F" w:rsidP="00DB2D0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  <w:r w:rsidR="00DB2D0F" w:rsidRPr="00F46B22">
        <w:rPr>
          <w:rFonts w:ascii="Calibri" w:hAnsi="Calibri" w:cs="Calibri"/>
          <w:b/>
          <w:sz w:val="24"/>
          <w:szCs w:val="24"/>
        </w:rPr>
        <w:t>The CDC Guides to Strategies for Reducing the Consumptio</w:t>
      </w:r>
      <w:r w:rsidR="00DB2D0F">
        <w:rPr>
          <w:rFonts w:ascii="Calibri" w:hAnsi="Calibri" w:cs="Calibri"/>
          <w:b/>
          <w:sz w:val="24"/>
          <w:szCs w:val="24"/>
        </w:rPr>
        <w:t xml:space="preserve">n of Sugar-Sweetened Beverages </w:t>
      </w:r>
      <w:r w:rsidR="00DB2D0F" w:rsidRPr="00FF211A">
        <w:rPr>
          <w:rFonts w:ascii="Calibri" w:hAnsi="Calibri" w:cs="Calibri"/>
          <w:szCs w:val="22"/>
        </w:rPr>
        <w:t xml:space="preserve">by the Centers for Disease and Prevention.  Published in 2010.  </w:t>
      </w:r>
      <w:hyperlink r:id="rId20" w:history="1">
        <w:r w:rsidR="00DB2D0F" w:rsidRPr="00FF211A">
          <w:rPr>
            <w:rStyle w:val="Hyperlink"/>
            <w:rFonts w:ascii="Calibri" w:hAnsi="Calibri" w:cs="Calibri"/>
            <w:position w:val="0"/>
            <w:lang w:eastAsia="en-US"/>
          </w:rPr>
          <w:t>http://www.cdph.ca.gov/SiteCollectionDocuments/StratstoReduce_Sugar_Sweetened_Bevs.pdf</w:t>
        </w:r>
      </w:hyperlink>
      <w:r w:rsidR="00DB2D0F" w:rsidRPr="00FF211A">
        <w:rPr>
          <w:rFonts w:ascii="Calibri" w:hAnsi="Calibri" w:cs="Calibri"/>
          <w:position w:val="0"/>
          <w:lang w:eastAsia="en-US"/>
        </w:rPr>
        <w:t xml:space="preserve"> </w:t>
      </w:r>
    </w:p>
    <w:p w:rsidR="00DB2D0F" w:rsidRPr="00F46B22" w:rsidRDefault="00DB2D0F" w:rsidP="00DB2D0F">
      <w:pPr>
        <w:pStyle w:val="NoSpacing"/>
        <w:rPr>
          <w:rFonts w:cs="Calibri"/>
        </w:rPr>
      </w:pPr>
      <w:r>
        <w:rPr>
          <w:noProof/>
          <w:lang w:eastAsia="en-US"/>
        </w:rPr>
        <w:drawing>
          <wp:anchor distT="0" distB="0" distL="114300" distR="114300" simplePos="0" relativeHeight="251667456" behindDoc="0" locked="0" layoutInCell="1" allowOverlap="1" wp14:anchorId="6D338C01" wp14:editId="6D8EE9B0">
            <wp:simplePos x="0" y="0"/>
            <wp:positionH relativeFrom="column">
              <wp:posOffset>4599940</wp:posOffset>
            </wp:positionH>
            <wp:positionV relativeFrom="paragraph">
              <wp:posOffset>221615</wp:posOffset>
            </wp:positionV>
            <wp:extent cx="1099185" cy="1504950"/>
            <wp:effectExtent l="25400" t="25400" r="18415" b="19050"/>
            <wp:wrapNone/>
            <wp:docPr id="36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185" cy="15049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noProof/>
          <w:position w:val="0"/>
          <w:lang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A7F15C" wp14:editId="2BE329F8">
                <wp:simplePos x="0" y="0"/>
                <wp:positionH relativeFrom="column">
                  <wp:posOffset>230505</wp:posOffset>
                </wp:positionH>
                <wp:positionV relativeFrom="paragraph">
                  <wp:posOffset>30480</wp:posOffset>
                </wp:positionV>
                <wp:extent cx="4260215" cy="1816735"/>
                <wp:effectExtent l="1905" t="5080" r="17780" b="6985"/>
                <wp:wrapNone/>
                <wp:docPr id="55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0215" cy="1816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98408B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98408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The guide provides strategies for reducing sugar-sweetened beverages including ensuring ready access to potable drinking water, limiting access to sugar-sweetened beverages, promoting access to healthful alternatives, limiting marketing, decreasing the cost of healthful beverage alternatives, and expanding the knowledge and skills of medical care providers.  </w:t>
                            </w:r>
                          </w:p>
                          <w:p w:rsidR="00DB2D0F" w:rsidRPr="0098408B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98408B"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>Page: 8 – 33:</w:t>
                            </w:r>
                            <w:r w:rsidRPr="0098408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Program Examples</w:t>
                            </w:r>
                          </w:p>
                          <w:p w:rsidR="00DB2D0F" w:rsidRPr="009A1D03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22" w:anchor="page=8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http://www.cdph.ca.gov/SiteCollectionDocuments/StratstoReduce_Sugar_Sweetened_Bevs.pdf#page=8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18.15pt;margin-top:2.4pt;width:335.45pt;height:143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">
                <v:textbox>
                  <w:txbxContent>
                    <w:p w:rsidR="00DB2D0F" w:rsidRPr="0098408B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98408B">
                        <w:rPr>
                          <w:rFonts w:cs="Arial"/>
                          <w:position w:val="0"/>
                          <w:lang w:eastAsia="en-US"/>
                        </w:rPr>
                        <w:t xml:space="preserve">The guide provides strategies for reducing sugar-sweetened beverages including ensuring ready access to potable drinking water, limiting access to sugar-sweetened beverages, promoting access to healthful alternatives, limiting marketing, decreasing the cost of healthful beverage alternatives, and expanding the knowledge and skills of medical care providers.  </w:t>
                      </w:r>
                    </w:p>
                    <w:p w:rsidR="00DB2D0F" w:rsidRPr="0098408B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98408B"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>Page: 8 – 33:</w:t>
                      </w:r>
                      <w:r w:rsidRPr="0098408B">
                        <w:rPr>
                          <w:rFonts w:cs="Arial"/>
                          <w:position w:val="0"/>
                          <w:lang w:eastAsia="en-US"/>
                        </w:rPr>
                        <w:t xml:space="preserve">  Program Examples</w:t>
                      </w:r>
                    </w:p>
                    <w:p w:rsidR="00DB2D0F" w:rsidRPr="009A1D03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23" w:anchor="page=8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http://www.cdph.ca.gov/SiteCollectionDocuments/StratstoReduce_Sugar_Sweetened_Bevs.pdf#page=8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DB2D0F" w:rsidRDefault="00DB2D0F" w:rsidP="00DB2D0F">
      <w:pPr>
        <w:rPr>
          <w:rFonts w:ascii="Calibri" w:hAnsi="Calibri" w:cs="Calibri"/>
          <w:szCs w:val="22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Pr="00FF211A" w:rsidRDefault="00DB2D0F" w:rsidP="00DB2D0F">
      <w:pPr>
        <w:pStyle w:val="NoSpacing"/>
        <w:rPr>
          <w:rFonts w:cs="Calibri"/>
          <w:szCs w:val="22"/>
        </w:rPr>
      </w:pPr>
      <w:proofErr w:type="gramStart"/>
      <w:r w:rsidRPr="00F46B22">
        <w:rPr>
          <w:rFonts w:cs="Calibri"/>
          <w:b/>
          <w:sz w:val="24"/>
          <w:szCs w:val="24"/>
        </w:rPr>
        <w:t>Model Sugar-Swee</w:t>
      </w:r>
      <w:r>
        <w:rPr>
          <w:rFonts w:cs="Calibri"/>
          <w:b/>
          <w:sz w:val="24"/>
          <w:szCs w:val="24"/>
        </w:rPr>
        <w:t xml:space="preserve">tened Beverage Tax Legislation </w:t>
      </w:r>
      <w:r w:rsidRPr="00FF211A">
        <w:rPr>
          <w:rFonts w:cs="Calibri"/>
          <w:szCs w:val="22"/>
        </w:rPr>
        <w:t>by Change Lab Solutions, National Policy and Legal Analysis Network.</w:t>
      </w:r>
      <w:proofErr w:type="gramEnd"/>
      <w:r w:rsidRPr="00FF211A">
        <w:rPr>
          <w:rFonts w:cs="Calibri"/>
          <w:szCs w:val="22"/>
        </w:rPr>
        <w:t xml:space="preserve">  Published in 2012.  </w:t>
      </w:r>
    </w:p>
    <w:p w:rsidR="00DB2D0F" w:rsidRPr="00FF211A" w:rsidRDefault="00EF2BCE" w:rsidP="00DB2D0F">
      <w:pPr>
        <w:pStyle w:val="NoSpacing"/>
        <w:rPr>
          <w:rFonts w:cs="Calibri"/>
          <w:szCs w:val="22"/>
        </w:rPr>
      </w:pPr>
      <w:hyperlink r:id="rId24" w:history="1">
        <w:r w:rsidR="00DB2D0F" w:rsidRPr="00D15C80">
          <w:rPr>
            <w:rStyle w:val="Hyperlink"/>
            <w:rFonts w:cs="Arial"/>
            <w:position w:val="0"/>
            <w:lang w:eastAsia="en-US"/>
          </w:rPr>
          <w:t>http://changelabsolutions.org/publications/ssb-model-tax-legislation</w:t>
        </w:r>
      </w:hyperlink>
      <w:r w:rsidR="00DB2D0F">
        <w:rPr>
          <w:rFonts w:cs="Arial"/>
          <w:position w:val="0"/>
          <w:lang w:eastAsia="en-US"/>
        </w:rPr>
        <w:t xml:space="preserve"> </w:t>
      </w:r>
    </w:p>
    <w:p w:rsidR="00DB2D0F" w:rsidRDefault="00DB2D0F" w:rsidP="00DB2D0F">
      <w:pPr>
        <w:pStyle w:val="NoSpacing"/>
        <w:rPr>
          <w:rFonts w:cs="Arial"/>
          <w:position w:val="0"/>
          <w:lang w:eastAsia="en-US"/>
        </w:rPr>
      </w:pPr>
    </w:p>
    <w:p w:rsidR="00DB2D0F" w:rsidRPr="0054755E" w:rsidRDefault="00DB2D0F" w:rsidP="00DB2D0F">
      <w:pPr>
        <w:pStyle w:val="NoSpacing"/>
        <w:rPr>
          <w:rFonts w:cs="Arial"/>
          <w:position w:val="0"/>
          <w:lang w:eastAsia="en-US"/>
        </w:rPr>
      </w:pPr>
      <w:r>
        <w:rPr>
          <w:rFonts w:cs="Calibr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44CDD6E0" wp14:editId="27B929AA">
                <wp:simplePos x="0" y="0"/>
                <wp:positionH relativeFrom="column">
                  <wp:posOffset>106045</wp:posOffset>
                </wp:positionH>
                <wp:positionV relativeFrom="paragraph">
                  <wp:posOffset>70485</wp:posOffset>
                </wp:positionV>
                <wp:extent cx="5708015" cy="1542415"/>
                <wp:effectExtent l="4445" t="0" r="15240" b="12700"/>
                <wp:wrapNone/>
                <wp:docPr id="54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54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2F0881" w:rsidRDefault="00DB2D0F" w:rsidP="00DB2D0F">
                            <w:pPr>
                              <w:pStyle w:val="NoSpacing"/>
                              <w:ind w:left="360"/>
                            </w:pPr>
                          </w:p>
                          <w:p w:rsidR="00DB2D0F" w:rsidRDefault="00DB2D0F" w:rsidP="00DB2D0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8.35pt;margin-top:5.55pt;width:449.45pt;height:121.4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">
                <v:textbox>
                  <w:txbxContent>
                    <w:p w:rsidR="00DB2D0F" w:rsidRPr="002F0881" w:rsidRDefault="00DB2D0F" w:rsidP="00DB2D0F">
                      <w:pPr>
                        <w:pStyle w:val="NoSpacing"/>
                        <w:ind w:left="360"/>
                      </w:pPr>
                    </w:p>
                    <w:p w:rsidR="00DB2D0F" w:rsidRDefault="00DB2D0F" w:rsidP="00DB2D0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US"/>
        </w:rPr>
        <w:drawing>
          <wp:anchor distT="0" distB="0" distL="114300" distR="114300" simplePos="0" relativeHeight="251670528" behindDoc="0" locked="0" layoutInCell="1" allowOverlap="1" wp14:anchorId="058033E1" wp14:editId="2252FF67">
            <wp:simplePos x="0" y="0"/>
            <wp:positionH relativeFrom="column">
              <wp:posOffset>4603750</wp:posOffset>
            </wp:positionH>
            <wp:positionV relativeFrom="paragraph">
              <wp:posOffset>160020</wp:posOffset>
            </wp:positionV>
            <wp:extent cx="1077595" cy="1351915"/>
            <wp:effectExtent l="25400" t="25400" r="14605" b="19685"/>
            <wp:wrapNone/>
            <wp:docPr id="37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7595" cy="13519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2D0F" w:rsidRDefault="00DB2D0F" w:rsidP="00DB2D0F">
      <w:pPr>
        <w:rPr>
          <w:rFonts w:ascii="Calibri" w:hAnsi="Calibri" w:cs="Calibri"/>
          <w:szCs w:val="22"/>
        </w:rPr>
      </w:pPr>
      <w:r>
        <w:rPr>
          <w:rFonts w:cs="Arial"/>
          <w:noProof/>
          <w:position w:val="0"/>
          <w:lang w:eastAsia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51CE2E4" wp14:editId="203921D1">
                <wp:simplePos x="0" y="0"/>
                <wp:positionH relativeFrom="column">
                  <wp:posOffset>230505</wp:posOffset>
                </wp:positionH>
                <wp:positionV relativeFrom="paragraph">
                  <wp:posOffset>270510</wp:posOffset>
                </wp:positionV>
                <wp:extent cx="4260215" cy="836295"/>
                <wp:effectExtent l="1905" t="3810" r="17780" b="10795"/>
                <wp:wrapNone/>
                <wp:docPr id="5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0215" cy="8362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54755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This site explains the role of sweetened beverages in the childhood obesity epidemic.  The toolkit contains example legislation layouts and data to support claims.   </w:t>
                            </w:r>
                          </w:p>
                          <w:p w:rsidR="00DB2D0F" w:rsidRPr="0054755E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26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http://changelabsolutions.org/publications/ssb-model-tax-legislation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9A1D03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8.15pt;margin-top:21.3pt;width:335.45pt;height:65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">
                <v:textbox>
                  <w:txbxContent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54755E">
                        <w:rPr>
                          <w:rFonts w:cs="Arial"/>
                          <w:position w:val="0"/>
                          <w:lang w:eastAsia="en-US"/>
                        </w:rPr>
                        <w:t xml:space="preserve">This site explains the role of sweetened beverages in the childhood obesity epidemic.  The toolkit contains example legislation layouts and data to support claims.   </w:t>
                      </w:r>
                    </w:p>
                    <w:p w:rsidR="00DB2D0F" w:rsidRPr="0054755E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27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http://changelabsolutions.org/publications/ssb-model-tax-legislation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9A1D03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6A42C8" w:rsidRDefault="006A42C8" w:rsidP="00DB2D0F">
      <w:pPr>
        <w:pStyle w:val="NoSpacing"/>
        <w:rPr>
          <w:rFonts w:cs="Calibri"/>
          <w:sz w:val="24"/>
          <w:szCs w:val="24"/>
        </w:rPr>
      </w:pPr>
    </w:p>
    <w:p w:rsidR="00DB2D0F" w:rsidRPr="009A1D03" w:rsidRDefault="00DB2D0F" w:rsidP="00DB2D0F">
      <w:pPr>
        <w:pStyle w:val="NoSpacing"/>
        <w:rPr>
          <w:rFonts w:cs="Arial"/>
          <w:position w:val="0"/>
          <w:lang w:eastAsia="en-US"/>
        </w:rPr>
      </w:pPr>
      <w:proofErr w:type="gramStart"/>
      <w:r>
        <w:rPr>
          <w:rFonts w:cs="Calibri"/>
          <w:b/>
          <w:sz w:val="24"/>
          <w:szCs w:val="24"/>
        </w:rPr>
        <w:lastRenderedPageBreak/>
        <w:t xml:space="preserve">Healthy Beverage Toolkit </w:t>
      </w:r>
      <w:r>
        <w:rPr>
          <w:rFonts w:cs="Calibri"/>
          <w:szCs w:val="22"/>
        </w:rPr>
        <w:t>by Boston Public Health Commission.</w:t>
      </w:r>
      <w:proofErr w:type="gramEnd"/>
      <w:r>
        <w:rPr>
          <w:rFonts w:cs="Calibri"/>
          <w:szCs w:val="22"/>
        </w:rPr>
        <w:t xml:space="preserve">  Published in 2011</w:t>
      </w:r>
      <w:r w:rsidRPr="0054755E">
        <w:rPr>
          <w:rFonts w:cs="Calibri"/>
          <w:szCs w:val="22"/>
        </w:rPr>
        <w:t xml:space="preserve">.  </w:t>
      </w:r>
      <w:hyperlink r:id="rId28" w:history="1">
        <w:r w:rsidRPr="00D15C80">
          <w:rPr>
            <w:rStyle w:val="Hyperlink"/>
            <w:rFonts w:cs="Arial"/>
            <w:position w:val="0"/>
            <w:lang w:eastAsia="en-US"/>
          </w:rPr>
          <w:t>http://waterinschools.org/pdfs/BostonPHCommission_HealthyBeverageToolkitFinal.pdf</w:t>
        </w:r>
      </w:hyperlink>
      <w:r>
        <w:rPr>
          <w:rFonts w:cs="Arial"/>
          <w:position w:val="0"/>
          <w:lang w:eastAsia="en-US"/>
        </w:rPr>
        <w:t xml:space="preserve"> </w:t>
      </w:r>
    </w:p>
    <w:p w:rsidR="00DB2D0F" w:rsidRPr="00980768" w:rsidRDefault="00DB2D0F" w:rsidP="00DB2D0F">
      <w:pPr>
        <w:spacing w:after="0" w:line="240" w:lineRule="auto"/>
        <w:rPr>
          <w:rFonts w:ascii="Calibri" w:hAnsi="Calibri" w:cs="Calibri"/>
          <w:szCs w:val="22"/>
        </w:rPr>
      </w:pPr>
      <w:r>
        <w:rPr>
          <w:rFonts w:cs="Calibr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4AD3125C" wp14:editId="1E743F8C">
                <wp:simplePos x="0" y="0"/>
                <wp:positionH relativeFrom="column">
                  <wp:posOffset>106045</wp:posOffset>
                </wp:positionH>
                <wp:positionV relativeFrom="paragraph">
                  <wp:posOffset>159385</wp:posOffset>
                </wp:positionV>
                <wp:extent cx="5708015" cy="3099435"/>
                <wp:effectExtent l="4445" t="0" r="15240" b="17780"/>
                <wp:wrapNone/>
                <wp:docPr id="5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30994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2F0881" w:rsidRDefault="00DB2D0F" w:rsidP="00DB2D0F">
                            <w:pPr>
                              <w:pStyle w:val="NoSpacing"/>
                              <w:ind w:left="360"/>
                            </w:pPr>
                          </w:p>
                          <w:p w:rsidR="00DB2D0F" w:rsidRDefault="00DB2D0F" w:rsidP="00DB2D0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8.35pt;margin-top:12.55pt;width:449.45pt;height:244.0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">
                <v:textbox>
                  <w:txbxContent>
                    <w:p w:rsidR="00DB2D0F" w:rsidRPr="002F0881" w:rsidRDefault="00DB2D0F" w:rsidP="00DB2D0F">
                      <w:pPr>
                        <w:pStyle w:val="NoSpacing"/>
                        <w:ind w:left="360"/>
                      </w:pPr>
                    </w:p>
                    <w:p w:rsidR="00DB2D0F" w:rsidRDefault="00DB2D0F" w:rsidP="00DB2D0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</w:p>
    <w:p w:rsidR="00DB2D0F" w:rsidRPr="00F46B22" w:rsidRDefault="00DB2D0F" w:rsidP="00DB2D0F">
      <w:pPr>
        <w:pStyle w:val="NoSpacing"/>
        <w:rPr>
          <w:rFonts w:cs="Calibri"/>
        </w:rPr>
      </w:pPr>
      <w:r>
        <w:rPr>
          <w:rFonts w:cs="Arial"/>
          <w:noProof/>
          <w:position w:val="0"/>
          <w:lang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CB69574" wp14:editId="33907ACD">
                <wp:simplePos x="0" y="0"/>
                <wp:positionH relativeFrom="column">
                  <wp:posOffset>230505</wp:posOffset>
                </wp:positionH>
                <wp:positionV relativeFrom="paragraph">
                  <wp:posOffset>30480</wp:posOffset>
                </wp:positionV>
                <wp:extent cx="4260215" cy="2883535"/>
                <wp:effectExtent l="1905" t="5080" r="17780" b="6985"/>
                <wp:wrapNone/>
                <wp:docPr id="5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0215" cy="2883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54755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The toolkit provides background on obesity, chronic disease, and sugar-sweetened beverages and steps to implement and communicate sugar-sweetened beverage reduction consumption plans in organizations.  Included are success stories from various companies.  </w:t>
                            </w:r>
                          </w:p>
                          <w:p w:rsidR="00DB2D0F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54755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Page 19: Healthy Beverage Policy Approaches</w:t>
                            </w:r>
                          </w:p>
                          <w:p w:rsidR="00DB2D0F" w:rsidRPr="0054755E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29" w:anchor="page=19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http://waterinschools.org/pdfs/BostonPHCommission_HealthyBeverageToolkitFinal.pdf#page=19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  <w:p w:rsidR="00DB2D0F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54755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Page 23: Steps to Implementation</w:t>
                            </w:r>
                          </w:p>
                          <w:p w:rsidR="00DB2D0F" w:rsidRPr="0054755E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30" w:anchor="page=23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http://waterinschools.org/pdfs/BostonPHCommission_HealthyBeverageToolkitFinal.pdf#page=23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DB2D0F" w:rsidRPr="0054755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  <w:p w:rsidR="00DB2D0F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54755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Page 35: Policy Change Stories from the Field</w:t>
                            </w:r>
                          </w:p>
                          <w:p w:rsidR="00DB2D0F" w:rsidRPr="0054755E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31" w:anchor="page=35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http://waterinschools.org/pdfs/BostonPHCommission_HealthyBeverageToolkitFinal.pdf#page=35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54755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Page 56: Health Care Healthy Beverage Sample Policy</w:t>
                            </w:r>
                          </w:p>
                          <w:p w:rsidR="00DB2D0F" w:rsidRPr="009A1D03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32" w:anchor="page=56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http://waterinschools.org/pdfs/BostonPHCommission_HealthyBeverageToolkitFinal.pdf#page=56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18.15pt;margin-top:2.4pt;width:335.45pt;height:227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">
                <v:textbox>
                  <w:txbxContent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54755E">
                        <w:rPr>
                          <w:rFonts w:cs="Arial"/>
                          <w:position w:val="0"/>
                          <w:lang w:eastAsia="en-US"/>
                        </w:rPr>
                        <w:t xml:space="preserve">The toolkit provides background on obesity, chronic disease, and sugar-sweetened beverages and steps to implement and communicate sugar-sweetened beverage reduction consumption plans in organizations.  Included are success stories from various companies.  </w:t>
                      </w:r>
                    </w:p>
                    <w:p w:rsidR="00DB2D0F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54755E">
                        <w:rPr>
                          <w:rFonts w:cs="Arial"/>
                          <w:position w:val="0"/>
                          <w:lang w:eastAsia="en-US"/>
                        </w:rPr>
                        <w:t>Page 19: Healthy Beverage Policy Approaches</w:t>
                      </w:r>
                    </w:p>
                    <w:p w:rsidR="00DB2D0F" w:rsidRPr="0054755E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33" w:anchor="page=19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http://waterinschools.org/pdfs/BostonPHCommission_HealthyBeverageToolkitFinal.pdf#page=19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  <w:p w:rsidR="00DB2D0F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54755E">
                        <w:rPr>
                          <w:rFonts w:cs="Arial"/>
                          <w:position w:val="0"/>
                          <w:lang w:eastAsia="en-US"/>
                        </w:rPr>
                        <w:t>Page 23: Steps to Implementation</w:t>
                      </w:r>
                    </w:p>
                    <w:p w:rsidR="00DB2D0F" w:rsidRPr="0054755E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34" w:anchor="page=23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http://waterinschools.org/pdfs/BostonPHCommission_HealthyBeverageToolkitFinal.pdf#page=23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DB2D0F" w:rsidRPr="0054755E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  <w:p w:rsidR="00DB2D0F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54755E">
                        <w:rPr>
                          <w:rFonts w:cs="Arial"/>
                          <w:position w:val="0"/>
                          <w:lang w:eastAsia="en-US"/>
                        </w:rPr>
                        <w:t>Page 35: Policy Change Stories from the Field</w:t>
                      </w:r>
                    </w:p>
                    <w:p w:rsidR="00DB2D0F" w:rsidRPr="0054755E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35" w:anchor="page=35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http://waterinschools.org/pdfs/BostonPHCommission_HealthyBeverageToolkitFinal.pdf#page=35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54755E">
                        <w:rPr>
                          <w:rFonts w:cs="Arial"/>
                          <w:position w:val="0"/>
                          <w:lang w:eastAsia="en-US"/>
                        </w:rPr>
                        <w:t>Page 56: Health Care Healthy Beverage Sample Policy</w:t>
                      </w:r>
                    </w:p>
                    <w:p w:rsidR="00DB2D0F" w:rsidRPr="009A1D03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36" w:anchor="page=56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http://waterinschools.org/pdfs/BostonPHCommission_HealthyBeverageToolkitFinal.pdf#page=56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DB2D0F" w:rsidRDefault="00DB2D0F" w:rsidP="00DB2D0F">
      <w:pPr>
        <w:rPr>
          <w:rFonts w:ascii="Calibri" w:hAnsi="Calibri" w:cs="Calibri"/>
          <w:szCs w:val="22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  <w:r>
        <w:rPr>
          <w:noProof/>
          <w:lang w:eastAsia="en-US"/>
        </w:rPr>
        <w:drawing>
          <wp:anchor distT="0" distB="0" distL="114300" distR="114300" simplePos="0" relativeHeight="251673600" behindDoc="0" locked="0" layoutInCell="1" allowOverlap="1" wp14:anchorId="48C3E775" wp14:editId="1E935D4E">
            <wp:simplePos x="0" y="0"/>
            <wp:positionH relativeFrom="column">
              <wp:posOffset>4671060</wp:posOffset>
            </wp:positionH>
            <wp:positionV relativeFrom="paragraph">
              <wp:posOffset>170180</wp:posOffset>
            </wp:positionV>
            <wp:extent cx="1010285" cy="1318260"/>
            <wp:effectExtent l="25400" t="25400" r="31115" b="27940"/>
            <wp:wrapNone/>
            <wp:docPr id="37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285" cy="1318260"/>
                    </a:xfrm>
                    <a:prstGeom prst="rect">
                      <a:avLst/>
                    </a:prstGeom>
                    <a:noFill/>
                    <a:ln w="63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Pr="0054755E" w:rsidRDefault="00DB2D0F" w:rsidP="00DB2D0F">
      <w:pPr>
        <w:rPr>
          <w:rFonts w:ascii="Calibri" w:hAnsi="Calibri" w:cs="Calibri"/>
          <w:b/>
          <w:sz w:val="24"/>
          <w:szCs w:val="24"/>
        </w:rPr>
      </w:pPr>
      <w:proofErr w:type="gramStart"/>
      <w:r w:rsidRPr="00F46B22">
        <w:rPr>
          <w:rFonts w:ascii="Calibri" w:hAnsi="Calibri" w:cs="Calibri"/>
          <w:b/>
          <w:sz w:val="24"/>
          <w:szCs w:val="24"/>
        </w:rPr>
        <w:t>Sugar-Sweetened Beverage Tax and Sugar Intake Policy Statements, En</w:t>
      </w:r>
      <w:r>
        <w:rPr>
          <w:rFonts w:ascii="Calibri" w:hAnsi="Calibri" w:cs="Calibri"/>
          <w:b/>
          <w:sz w:val="24"/>
          <w:szCs w:val="24"/>
        </w:rPr>
        <w:t xml:space="preserve">dorsements, and Recommendations </w:t>
      </w:r>
      <w:r w:rsidRPr="0054755E">
        <w:rPr>
          <w:rFonts w:ascii="Calibri" w:hAnsi="Calibri" w:cs="Calibri"/>
          <w:szCs w:val="22"/>
        </w:rPr>
        <w:t xml:space="preserve">by </w:t>
      </w:r>
      <w:r>
        <w:rPr>
          <w:rFonts w:ascii="Calibri" w:hAnsi="Calibri" w:cs="Calibri"/>
          <w:szCs w:val="22"/>
        </w:rPr>
        <w:t>American Medical Association, Yale Rudd Center</w:t>
      </w:r>
      <w:r w:rsidRPr="0054755E">
        <w:rPr>
          <w:rFonts w:ascii="Calibri" w:hAnsi="Calibri" w:cs="Calibri"/>
          <w:szCs w:val="22"/>
        </w:rPr>
        <w:t>.</w:t>
      </w:r>
      <w:proofErr w:type="gramEnd"/>
      <w:r w:rsidRPr="0054755E">
        <w:rPr>
          <w:rFonts w:ascii="Calibri" w:hAnsi="Calibri" w:cs="Calibri"/>
          <w:szCs w:val="22"/>
        </w:rPr>
        <w:t xml:space="preserve">  Published in 2012.</w:t>
      </w:r>
      <w:r>
        <w:rPr>
          <w:rFonts w:ascii="Calibri" w:hAnsi="Calibri" w:cs="Calibri"/>
          <w:szCs w:val="22"/>
        </w:rPr>
        <w:t xml:space="preserve"> </w:t>
      </w:r>
      <w:hyperlink r:id="rId38" w:history="1">
        <w:r w:rsidRPr="00FF211A">
          <w:rPr>
            <w:rStyle w:val="Hyperlink"/>
            <w:rFonts w:ascii="Calibri" w:hAnsi="Calibri" w:cs="Calibri"/>
            <w:position w:val="0"/>
            <w:lang w:eastAsia="en-US"/>
          </w:rPr>
          <w:t>http://www.yaleruddcenter.org/resources/upload/docs/what/policy/SSBtaxes/SSBTaxStatements.pdf</w:t>
        </w:r>
      </w:hyperlink>
      <w:r w:rsidRPr="0054755E">
        <w:rPr>
          <w:rFonts w:ascii="Calibri" w:hAnsi="Calibri" w:cs="Calibri"/>
          <w:szCs w:val="22"/>
        </w:rPr>
        <w:t xml:space="preserve">  </w:t>
      </w:r>
    </w:p>
    <w:p w:rsidR="00DB2D0F" w:rsidRPr="0054755E" w:rsidRDefault="00DB2D0F" w:rsidP="00DB2D0F">
      <w:pPr>
        <w:pStyle w:val="NoSpacing"/>
        <w:rPr>
          <w:rFonts w:cs="Arial"/>
          <w:position w:val="0"/>
          <w:lang w:eastAsia="en-US"/>
        </w:rPr>
      </w:pPr>
      <w:r>
        <w:rPr>
          <w:rFonts w:cs="Calibr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166F3F19" wp14:editId="44D459AE">
                <wp:simplePos x="0" y="0"/>
                <wp:positionH relativeFrom="column">
                  <wp:posOffset>106045</wp:posOffset>
                </wp:positionH>
                <wp:positionV relativeFrom="paragraph">
                  <wp:posOffset>70485</wp:posOffset>
                </wp:positionV>
                <wp:extent cx="5708015" cy="1542415"/>
                <wp:effectExtent l="4445" t="0" r="15240" b="12700"/>
                <wp:wrapNone/>
                <wp:docPr id="5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54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2F0881" w:rsidRDefault="00DB2D0F" w:rsidP="00DB2D0F">
                            <w:pPr>
                              <w:pStyle w:val="NoSpacing"/>
                              <w:ind w:left="360"/>
                            </w:pPr>
                          </w:p>
                          <w:p w:rsidR="00DB2D0F" w:rsidRDefault="00DB2D0F" w:rsidP="00DB2D0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8.35pt;margin-top:5.55pt;width:449.45pt;height:121.45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">
                <v:textbox>
                  <w:txbxContent>
                    <w:p w:rsidR="00DB2D0F" w:rsidRPr="002F0881" w:rsidRDefault="00DB2D0F" w:rsidP="00DB2D0F">
                      <w:pPr>
                        <w:pStyle w:val="NoSpacing"/>
                        <w:ind w:left="360"/>
                      </w:pPr>
                    </w:p>
                    <w:p w:rsidR="00DB2D0F" w:rsidRDefault="00DB2D0F" w:rsidP="00DB2D0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</w:p>
    <w:p w:rsidR="00DB2D0F" w:rsidRDefault="00DB2D0F" w:rsidP="00DB2D0F">
      <w:pPr>
        <w:rPr>
          <w:rFonts w:ascii="Calibri" w:hAnsi="Calibri" w:cs="Calibri"/>
          <w:szCs w:val="22"/>
        </w:rPr>
      </w:pPr>
      <w:r>
        <w:rPr>
          <w:noProof/>
          <w:lang w:eastAsia="en-US"/>
        </w:rPr>
        <w:drawing>
          <wp:anchor distT="0" distB="0" distL="114300" distR="114300" simplePos="0" relativeHeight="251676672" behindDoc="0" locked="0" layoutInCell="1" allowOverlap="1" wp14:anchorId="21813983" wp14:editId="75880D22">
            <wp:simplePos x="0" y="0"/>
            <wp:positionH relativeFrom="column">
              <wp:posOffset>4668520</wp:posOffset>
            </wp:positionH>
            <wp:positionV relativeFrom="paragraph">
              <wp:posOffset>8255</wp:posOffset>
            </wp:positionV>
            <wp:extent cx="989330" cy="1306830"/>
            <wp:effectExtent l="25400" t="25400" r="26670" b="13970"/>
            <wp:wrapNone/>
            <wp:docPr id="38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330" cy="1306830"/>
                    </a:xfrm>
                    <a:prstGeom prst="rect">
                      <a:avLst/>
                    </a:prstGeom>
                    <a:noFill/>
                    <a:ln w="63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noProof/>
          <w:position w:val="0"/>
          <w:lang w:eastAsia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6CDA8B" wp14:editId="0E08F6D1">
                <wp:simplePos x="0" y="0"/>
                <wp:positionH relativeFrom="column">
                  <wp:posOffset>230505</wp:posOffset>
                </wp:positionH>
                <wp:positionV relativeFrom="paragraph">
                  <wp:posOffset>76200</wp:posOffset>
                </wp:positionV>
                <wp:extent cx="4260215" cy="1071245"/>
                <wp:effectExtent l="1905" t="0" r="17780" b="8255"/>
                <wp:wrapNone/>
                <wp:docPr id="47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0215" cy="1071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54755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The toolkit provides reports that recommend taxes on beverages and advises endorsement of tax.  In addition recommendations and links for further research are given.   </w:t>
                            </w:r>
                          </w:p>
                          <w:p w:rsidR="00DB2D0F" w:rsidRPr="0054755E" w:rsidRDefault="00EF2BCE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40" w:history="1">
                              <w:r w:rsidR="00DB2D0F" w:rsidRPr="00D15C80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http://www.yaleruddcenter.org/resources/upload/docs/what/policy/SSBtaxes/SSBTaxStatements.pdf</w:t>
                              </w:r>
                            </w:hyperlink>
                            <w:r w:rsidR="00DB2D0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</w:t>
                            </w:r>
                          </w:p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54755E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  <w:p w:rsidR="00DB2D0F" w:rsidRPr="009A1D03" w:rsidRDefault="00DB2D0F" w:rsidP="00DB2D0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18.15pt;margin-top:6pt;width:335.45pt;height:84.3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">
                <v:textbox>
                  <w:txbxContent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54755E">
                        <w:rPr>
                          <w:rFonts w:cs="Arial"/>
                          <w:position w:val="0"/>
                          <w:lang w:eastAsia="en-US"/>
                        </w:rPr>
                        <w:t xml:space="preserve">The toolkit provides reports that recommend taxes on beverages and advises endorsement of tax.  In addition recommendations and links for further research are given.   </w:t>
                      </w:r>
                    </w:p>
                    <w:p w:rsidR="00DB2D0F" w:rsidRPr="0054755E" w:rsidRDefault="002D1141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41" w:history="1">
                        <w:r w:rsidR="00DB2D0F" w:rsidRPr="00D15C80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http://www.yaleruddcenter.org/resources/upload/docs/what/policy/SSBtaxes/SSBTaxStatements.pdf</w:t>
                        </w:r>
                      </w:hyperlink>
                      <w:r w:rsidR="00DB2D0F">
                        <w:rPr>
                          <w:rFonts w:cs="Arial"/>
                          <w:position w:val="0"/>
                          <w:lang w:eastAsia="en-US"/>
                        </w:rPr>
                        <w:t xml:space="preserve">  </w:t>
                      </w:r>
                    </w:p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54755E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  <w:p w:rsidR="00DB2D0F" w:rsidRPr="009A1D03" w:rsidRDefault="00DB2D0F" w:rsidP="00DB2D0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DB2D0F" w:rsidRDefault="00DB2D0F" w:rsidP="00DB2D0F">
      <w:pPr>
        <w:rPr>
          <w:rFonts w:ascii="Calibri" w:hAnsi="Calibri" w:cs="Calibri"/>
          <w:sz w:val="24"/>
          <w:szCs w:val="24"/>
        </w:rPr>
      </w:pPr>
    </w:p>
    <w:p w:rsidR="004E40E8" w:rsidRDefault="004E40E8" w:rsidP="006A42C8"/>
    <w:sectPr w:rsidR="004E40E8" w:rsidSect="004E40E8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BCE" w:rsidRDefault="00EF2BCE" w:rsidP="006A42C8">
      <w:pPr>
        <w:spacing w:after="0" w:line="240" w:lineRule="auto"/>
      </w:pPr>
      <w:r>
        <w:separator/>
      </w:r>
    </w:p>
  </w:endnote>
  <w:endnote w:type="continuationSeparator" w:id="0">
    <w:p w:rsidR="00EF2BCE" w:rsidRDefault="00EF2BCE" w:rsidP="006A4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25" w:rsidRDefault="008E1A2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2C8" w:rsidRPr="008E1A25" w:rsidRDefault="006A42C8" w:rsidP="008E1A25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Additional Resources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Page </w:t>
    </w:r>
    <w:r>
      <w:rPr>
        <w:rFonts w:asciiTheme="minorHAnsi" w:eastAsiaTheme="minorEastAsia" w:hAnsiTheme="minorHAnsi" w:cstheme="minorBidi"/>
      </w:rPr>
      <w:fldChar w:fldCharType="begin"/>
    </w:r>
    <w:r>
      <w:instrText xml:space="preserve"> PAGE   \* MERGEFORMAT </w:instrText>
    </w:r>
    <w:r>
      <w:rPr>
        <w:rFonts w:asciiTheme="minorHAnsi" w:eastAsiaTheme="minorEastAsia" w:hAnsiTheme="minorHAnsi" w:cstheme="minorBidi"/>
      </w:rPr>
      <w:fldChar w:fldCharType="separate"/>
    </w:r>
    <w:r w:rsidR="008E1A25" w:rsidRPr="008E1A25">
      <w:rPr>
        <w:rFonts w:asciiTheme="majorHAnsi" w:eastAsiaTheme="majorEastAsia" w:hAnsiTheme="majorHAnsi" w:cstheme="majorBidi"/>
        <w:noProof/>
      </w:rPr>
      <w:t>1</w:t>
    </w:r>
    <w:r>
      <w:rPr>
        <w:rFonts w:asciiTheme="majorHAnsi" w:eastAsiaTheme="majorEastAsia" w:hAnsiTheme="majorHAnsi" w:cstheme="majorBidi"/>
        <w:noProof/>
      </w:rPr>
      <w:fldChar w:fldCharType="end"/>
    </w: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25" w:rsidRDefault="008E1A2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BCE" w:rsidRDefault="00EF2BCE" w:rsidP="006A42C8">
      <w:pPr>
        <w:spacing w:after="0" w:line="240" w:lineRule="auto"/>
      </w:pPr>
      <w:r>
        <w:separator/>
      </w:r>
    </w:p>
  </w:footnote>
  <w:footnote w:type="continuationSeparator" w:id="0">
    <w:p w:rsidR="00EF2BCE" w:rsidRDefault="00EF2BCE" w:rsidP="006A4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25" w:rsidRDefault="008E1A2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2C8" w:rsidRPr="006A42C8" w:rsidRDefault="00EF2BCE" w:rsidP="006A42C8">
    <w:pPr>
      <w:pStyle w:val="Header"/>
      <w:pBdr>
        <w:bottom w:val="thickThinSmallGap" w:sz="24" w:space="1" w:color="622423" w:themeColor="accent2" w:themeShade="7F"/>
      </w:pBdr>
      <w:jc w:val="center"/>
      <w:rPr>
        <w:rFonts w:asciiTheme="majorHAnsi" w:eastAsiaTheme="majorEastAsia" w:hAnsiTheme="majorHAnsi" w:cstheme="majorBidi"/>
        <w:sz w:val="40"/>
        <w:szCs w:val="40"/>
      </w:rPr>
    </w:pPr>
    <w:sdt>
      <w:sdtPr>
        <w:rPr>
          <w:rFonts w:asciiTheme="majorHAnsi" w:hAnsiTheme="majorHAnsi"/>
          <w:b/>
          <w:sz w:val="40"/>
          <w:szCs w:val="40"/>
          <w:u w:val="single"/>
        </w:rPr>
        <w:alias w:val="Title"/>
        <w:id w:val="77738743"/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6A42C8" w:rsidRPr="006A42C8">
          <w:rPr>
            <w:rFonts w:asciiTheme="majorHAnsi" w:hAnsiTheme="majorHAnsi"/>
            <w:b/>
            <w:sz w:val="40"/>
            <w:szCs w:val="40"/>
            <w:u w:val="single"/>
          </w:rPr>
          <w:t>Additional Resources on Sugar Consumption</w:t>
        </w:r>
      </w:sdtContent>
    </w:sdt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25" w:rsidRDefault="008E1A2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D0F"/>
    <w:rsid w:val="002D1141"/>
    <w:rsid w:val="004E40E8"/>
    <w:rsid w:val="0051481D"/>
    <w:rsid w:val="006A42C8"/>
    <w:rsid w:val="008E1A25"/>
    <w:rsid w:val="00DB2D0F"/>
    <w:rsid w:val="00EF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2D0F"/>
    <w:pPr>
      <w:spacing w:after="200" w:line="276" w:lineRule="auto"/>
    </w:pPr>
    <w:rPr>
      <w:rFonts w:ascii="Times New Roman" w:eastAsia="MS Mincho" w:hAnsi="Times New Roman" w:cs="Times New Roman"/>
      <w:position w:val="-30"/>
      <w:sz w:val="22"/>
      <w:szCs w:val="460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DB2D0F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DB2D0F"/>
    <w:pPr>
      <w:autoSpaceDE w:val="0"/>
      <w:autoSpaceDN w:val="0"/>
      <w:adjustRightInd w:val="0"/>
    </w:pPr>
    <w:rPr>
      <w:rFonts w:ascii="Calibri" w:eastAsia="Calibri" w:hAnsi="Calibri" w:cs="Calibri"/>
      <w:color w:val="000000"/>
    </w:rPr>
  </w:style>
  <w:style w:type="paragraph" w:styleId="NoSpacing">
    <w:name w:val="No Spacing"/>
    <w:uiPriority w:val="99"/>
    <w:qFormat/>
    <w:rsid w:val="00DB2D0F"/>
    <w:rPr>
      <w:rFonts w:ascii="Calibri" w:eastAsia="MS Mincho" w:hAnsi="Calibri" w:cs="Times New Roman"/>
      <w:position w:val="-30"/>
      <w:sz w:val="22"/>
      <w:szCs w:val="460"/>
      <w:lang w:eastAsia="ko-KR"/>
    </w:rPr>
  </w:style>
  <w:style w:type="paragraph" w:styleId="Header">
    <w:name w:val="header"/>
    <w:basedOn w:val="Normal"/>
    <w:link w:val="HeaderChar"/>
    <w:uiPriority w:val="99"/>
    <w:unhideWhenUsed/>
    <w:rsid w:val="006A42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42C8"/>
    <w:rPr>
      <w:rFonts w:ascii="Times New Roman" w:eastAsia="MS Mincho" w:hAnsi="Times New Roman" w:cs="Times New Roman"/>
      <w:position w:val="-30"/>
      <w:sz w:val="22"/>
      <w:szCs w:val="460"/>
      <w:lang w:eastAsia="ko-KR"/>
    </w:rPr>
  </w:style>
  <w:style w:type="paragraph" w:styleId="Footer">
    <w:name w:val="footer"/>
    <w:basedOn w:val="Normal"/>
    <w:link w:val="FooterChar"/>
    <w:uiPriority w:val="99"/>
    <w:unhideWhenUsed/>
    <w:rsid w:val="006A42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42C8"/>
    <w:rPr>
      <w:rFonts w:ascii="Times New Roman" w:eastAsia="MS Mincho" w:hAnsi="Times New Roman" w:cs="Times New Roman"/>
      <w:position w:val="-30"/>
      <w:sz w:val="22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42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42C8"/>
    <w:rPr>
      <w:rFonts w:ascii="Tahoma" w:eastAsia="MS Mincho" w:hAnsi="Tahoma" w:cs="Tahoma"/>
      <w:position w:val="-30"/>
      <w:sz w:val="16"/>
      <w:szCs w:val="16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2D0F"/>
    <w:pPr>
      <w:spacing w:after="200" w:line="276" w:lineRule="auto"/>
    </w:pPr>
    <w:rPr>
      <w:rFonts w:ascii="Times New Roman" w:eastAsia="MS Mincho" w:hAnsi="Times New Roman" w:cs="Times New Roman"/>
      <w:position w:val="-30"/>
      <w:sz w:val="22"/>
      <w:szCs w:val="460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DB2D0F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DB2D0F"/>
    <w:pPr>
      <w:autoSpaceDE w:val="0"/>
      <w:autoSpaceDN w:val="0"/>
      <w:adjustRightInd w:val="0"/>
    </w:pPr>
    <w:rPr>
      <w:rFonts w:ascii="Calibri" w:eastAsia="Calibri" w:hAnsi="Calibri" w:cs="Calibri"/>
      <w:color w:val="000000"/>
    </w:rPr>
  </w:style>
  <w:style w:type="paragraph" w:styleId="NoSpacing">
    <w:name w:val="No Spacing"/>
    <w:uiPriority w:val="99"/>
    <w:qFormat/>
    <w:rsid w:val="00DB2D0F"/>
    <w:rPr>
      <w:rFonts w:ascii="Calibri" w:eastAsia="MS Mincho" w:hAnsi="Calibri" w:cs="Times New Roman"/>
      <w:position w:val="-30"/>
      <w:sz w:val="22"/>
      <w:szCs w:val="460"/>
      <w:lang w:eastAsia="ko-KR"/>
    </w:rPr>
  </w:style>
  <w:style w:type="paragraph" w:styleId="Header">
    <w:name w:val="header"/>
    <w:basedOn w:val="Normal"/>
    <w:link w:val="HeaderChar"/>
    <w:uiPriority w:val="99"/>
    <w:unhideWhenUsed/>
    <w:rsid w:val="006A42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42C8"/>
    <w:rPr>
      <w:rFonts w:ascii="Times New Roman" w:eastAsia="MS Mincho" w:hAnsi="Times New Roman" w:cs="Times New Roman"/>
      <w:position w:val="-30"/>
      <w:sz w:val="22"/>
      <w:szCs w:val="460"/>
      <w:lang w:eastAsia="ko-KR"/>
    </w:rPr>
  </w:style>
  <w:style w:type="paragraph" w:styleId="Footer">
    <w:name w:val="footer"/>
    <w:basedOn w:val="Normal"/>
    <w:link w:val="FooterChar"/>
    <w:uiPriority w:val="99"/>
    <w:unhideWhenUsed/>
    <w:rsid w:val="006A42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42C8"/>
    <w:rPr>
      <w:rFonts w:ascii="Times New Roman" w:eastAsia="MS Mincho" w:hAnsi="Times New Roman" w:cs="Times New Roman"/>
      <w:position w:val="-30"/>
      <w:sz w:val="22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42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42C8"/>
    <w:rPr>
      <w:rFonts w:ascii="Tahoma" w:eastAsia="MS Mincho" w:hAnsi="Tahoma" w:cs="Tahoma"/>
      <w:position w:val="-30"/>
      <w:sz w:val="16"/>
      <w:szCs w:val="16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.png"/><Relationship Id="rId18" Type="http://schemas.openxmlformats.org/officeDocument/2006/relationships/hyperlink" Target="http://www.columbia.edu/~ycw2102/SSB%20tax%20brief%20Wang%202010%2006%2021%20_Final_.pdf" TargetMode="External"/><Relationship Id="rId26" Type="http://schemas.openxmlformats.org/officeDocument/2006/relationships/hyperlink" Target="http://changelabsolutions.org/publications/ssb-model-tax-legislation" TargetMode="External"/><Relationship Id="rId39" Type="http://schemas.openxmlformats.org/officeDocument/2006/relationships/image" Target="media/image6.png"/><Relationship Id="rId3" Type="http://schemas.microsoft.com/office/2007/relationships/stylesWithEffects" Target="stylesWithEffects.xml"/><Relationship Id="rId21" Type="http://schemas.openxmlformats.org/officeDocument/2006/relationships/image" Target="media/image3.png"/><Relationship Id="rId34" Type="http://schemas.openxmlformats.org/officeDocument/2006/relationships/hyperlink" Target="http://waterinschools.org/pdfs/BostonPHCommission_HealthyBeverageToolkitFinal.pdf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http://publichealthlawcenter.org/sites/default/files/resources/Taxing%20Sugar_Drinks_Public%20Health%20Law%20Center%20%20May%202011.pdf" TargetMode="External"/><Relationship Id="rId17" Type="http://schemas.openxmlformats.org/officeDocument/2006/relationships/hyperlink" Target="http://www.columbia.edu/~ycw2102/SSB%20tax%20brief%20Wang%202010%2006%2021%20_Final_.pdf" TargetMode="External"/><Relationship Id="rId25" Type="http://schemas.openxmlformats.org/officeDocument/2006/relationships/image" Target="media/image4.png"/><Relationship Id="rId33" Type="http://schemas.openxmlformats.org/officeDocument/2006/relationships/hyperlink" Target="http://waterinschools.org/pdfs/BostonPHCommission_HealthyBeverageToolkitFinal.pdf" TargetMode="External"/><Relationship Id="rId38" Type="http://schemas.openxmlformats.org/officeDocument/2006/relationships/hyperlink" Target="http://www.yaleruddcenter.org/resources/upload/docs/what/policy/SSBtaxes/SSBTaxStatements.pdf" TargetMode="External"/><Relationship Id="rId46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http://www.columbia.edu/~ycw2102/SSB%20tax%20brief%20Wang%202010%2006%2021%20_Final_.pdf" TargetMode="External"/><Relationship Id="rId20" Type="http://schemas.openxmlformats.org/officeDocument/2006/relationships/hyperlink" Target="http://www.cdph.ca.gov/SiteCollectionDocuments/StratstoReduce_Sugar_Sweetened_Bevs.pdf" TargetMode="External"/><Relationship Id="rId29" Type="http://schemas.openxmlformats.org/officeDocument/2006/relationships/hyperlink" Target="http://waterinschools.org/pdfs/BostonPHCommission_HealthyBeverageToolkitFinal.pdf" TargetMode="External"/><Relationship Id="rId41" Type="http://schemas.openxmlformats.org/officeDocument/2006/relationships/hyperlink" Target="http://www.yaleruddcenter.org/resources/upload/docs/what/policy/SSBtaxes/SSBTaxStatements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ublichealthlawcenter.org/sites/default/files/resources/Taxing%20Sugar_Drinks_Public%20Health%20Law%20Center%20%20May%202011.pdf" TargetMode="External"/><Relationship Id="rId24" Type="http://schemas.openxmlformats.org/officeDocument/2006/relationships/hyperlink" Target="http://changelabsolutions.org/publications/ssb-model-tax-legislation" TargetMode="External"/><Relationship Id="rId32" Type="http://schemas.openxmlformats.org/officeDocument/2006/relationships/hyperlink" Target="http://waterinschools.org/pdfs/BostonPHCommission_HealthyBeverageToolkitFinal.pdf" TargetMode="External"/><Relationship Id="rId37" Type="http://schemas.openxmlformats.org/officeDocument/2006/relationships/image" Target="media/image5.png"/><Relationship Id="rId40" Type="http://schemas.openxmlformats.org/officeDocument/2006/relationships/hyperlink" Target="http://www.yaleruddcenter.org/resources/upload/docs/what/policy/SSBtaxes/SSBTaxStatements.pdf" TargetMode="External"/><Relationship Id="rId45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www.columbia.edu/~ycw2102/SSB%20tax%20brief%20Wang%202010%2006%2021%20_Final_.pdf" TargetMode="External"/><Relationship Id="rId23" Type="http://schemas.openxmlformats.org/officeDocument/2006/relationships/hyperlink" Target="http://www.cdph.ca.gov/SiteCollectionDocuments/StratstoReduce_Sugar_Sweetened_Bevs.pdf" TargetMode="External"/><Relationship Id="rId28" Type="http://schemas.openxmlformats.org/officeDocument/2006/relationships/hyperlink" Target="http://waterinschools.org/pdfs/BostonPHCommission_HealthyBeverageToolkitFinal.pdf" TargetMode="External"/><Relationship Id="rId36" Type="http://schemas.openxmlformats.org/officeDocument/2006/relationships/hyperlink" Target="http://waterinschools.org/pdfs/BostonPHCommission_HealthyBeverageToolkitFinal.pdf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publichealthlawcenter.org/sites/default/files/resources/Taxing%20Sugar_Drinks_Public%20Health%20Law%20Center%20%20May%202011.pdf" TargetMode="External"/><Relationship Id="rId19" Type="http://schemas.openxmlformats.org/officeDocument/2006/relationships/image" Target="media/image2.png"/><Relationship Id="rId31" Type="http://schemas.openxmlformats.org/officeDocument/2006/relationships/hyperlink" Target="http://waterinschools.org/pdfs/BostonPHCommission_HealthyBeverageToolkitFinal.pdf" TargetMode="External"/><Relationship Id="rId4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publichealthlawcenter.org/sites/default/files/resources/Taxing%20Sugar_Drinks_Public%20Health%20Law%20Center%20%20May%202011.pdf" TargetMode="External"/><Relationship Id="rId14" Type="http://schemas.openxmlformats.org/officeDocument/2006/relationships/hyperlink" Target="http://www.columbia.edu/~ycw2102/SSB%20tax%20brief%20Wang%202010%2006%2021%20_Final_.pdf" TargetMode="External"/><Relationship Id="rId22" Type="http://schemas.openxmlformats.org/officeDocument/2006/relationships/hyperlink" Target="http://www.cdph.ca.gov/SiteCollectionDocuments/StratstoReduce_Sugar_Sweetened_Bevs.pdf" TargetMode="External"/><Relationship Id="rId27" Type="http://schemas.openxmlformats.org/officeDocument/2006/relationships/hyperlink" Target="http://changelabsolutions.org/publications/ssb-model-tax-legislation" TargetMode="External"/><Relationship Id="rId30" Type="http://schemas.openxmlformats.org/officeDocument/2006/relationships/hyperlink" Target="http://waterinschools.org/pdfs/BostonPHCommission_HealthyBeverageToolkitFinal.pdf" TargetMode="External"/><Relationship Id="rId35" Type="http://schemas.openxmlformats.org/officeDocument/2006/relationships/hyperlink" Target="http://waterinschools.org/pdfs/BostonPHCommission_HealthyBeverageToolkitFinal.pdf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publichealthlawcenter.org/sites/default/files/resources/Taxing%20Sugar_Drinks_Public%20Health%20Law%20Center%20%20May%202011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C3FA5-4C0E-4ED7-8018-5B21A8B67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Additional Resources on Sugar Consumption</vt:lpstr>
    </vt:vector>
  </TitlesOfParts>
  <Company>Toshiba</Company>
  <LinksUpToDate>false</LinksUpToDate>
  <CharactersWithSpaces>2073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Additional Resources on Sugar Consumption</dc:title>
  <dc:creator>Erica Wong</dc:creator>
  <cp:lastModifiedBy>nittam</cp:lastModifiedBy>
  <cp:revision>3</cp:revision>
  <dcterms:created xsi:type="dcterms:W3CDTF">2014-03-10T10:04:00Z</dcterms:created>
  <dcterms:modified xsi:type="dcterms:W3CDTF">2014-03-10T10:34:00Z</dcterms:modified>
</cp:coreProperties>
</file>